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678" w:rsidRPr="002E2678" w:rsidRDefault="002E2678" w:rsidP="002E2678">
      <w:pPr>
        <w:jc w:val="center"/>
        <w:rPr>
          <w:rFonts w:ascii="宋体" w:eastAsia="宋体" w:hAnsi="宋体"/>
          <w:b/>
          <w:sz w:val="30"/>
        </w:rPr>
      </w:pPr>
      <w:r w:rsidRPr="002E2678">
        <w:rPr>
          <w:rFonts w:ascii="宋体" w:eastAsia="宋体" w:hAnsi="宋体" w:hint="eastAsia"/>
          <w:b/>
          <w:sz w:val="30"/>
        </w:rPr>
        <w:t>中国石油大学（北京）</w:t>
      </w:r>
    </w:p>
    <w:p w:rsidR="002E2678" w:rsidRPr="002E2678" w:rsidRDefault="002E2678" w:rsidP="002E2678">
      <w:pPr>
        <w:spacing w:line="276" w:lineRule="auto"/>
        <w:jc w:val="center"/>
        <w:rPr>
          <w:rFonts w:ascii="宋体" w:eastAsia="宋体" w:hAnsi="宋体"/>
          <w:b/>
          <w:sz w:val="24"/>
        </w:rPr>
      </w:pPr>
      <w:r w:rsidRPr="002E2678">
        <w:rPr>
          <w:rFonts w:ascii="宋体" w:eastAsia="宋体" w:hAnsi="宋体" w:hint="eastAsia"/>
          <w:b/>
          <w:sz w:val="30"/>
        </w:rPr>
        <w:t>硕士研究生《金融学综合》考试大纲</w:t>
      </w:r>
    </w:p>
    <w:p w:rsidR="004A4C08" w:rsidRPr="002E2678" w:rsidRDefault="004A4C08" w:rsidP="004A4C08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kern w:val="0"/>
          <w:sz w:val="24"/>
        </w:rPr>
      </w:pPr>
      <w:r w:rsidRPr="002E2678">
        <w:rPr>
          <w:rFonts w:ascii="宋体" w:eastAsia="宋体" w:hAnsi="宋体" w:cs="宋体"/>
          <w:b/>
          <w:kern w:val="0"/>
          <w:sz w:val="24"/>
        </w:rPr>
        <w:t>（一）考试性质</w:t>
      </w:r>
    </w:p>
    <w:p w:rsidR="004A4C08" w:rsidRPr="002E2678" w:rsidRDefault="004A4C08" w:rsidP="004F2D04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/>
          <w:kern w:val="0"/>
          <w:sz w:val="24"/>
        </w:rPr>
        <w:t>《金融学综合》是</w:t>
      </w:r>
      <w:r w:rsidRPr="0043058A">
        <w:rPr>
          <w:rFonts w:ascii="宋体" w:eastAsia="宋体" w:hAnsi="宋体" w:cs="宋体"/>
          <w:kern w:val="0"/>
          <w:sz w:val="24"/>
        </w:rPr>
        <w:t>20</w:t>
      </w:r>
      <w:r w:rsidR="00BA5570" w:rsidRPr="0043058A">
        <w:rPr>
          <w:rFonts w:ascii="宋体" w:eastAsia="宋体" w:hAnsi="宋体" w:cs="宋体"/>
          <w:kern w:val="0"/>
          <w:sz w:val="24"/>
        </w:rPr>
        <w:t>2</w:t>
      </w:r>
      <w:r w:rsidR="00523D74" w:rsidRPr="0043058A">
        <w:rPr>
          <w:rFonts w:ascii="宋体" w:eastAsia="宋体" w:hAnsi="宋体" w:cs="宋体"/>
          <w:kern w:val="0"/>
          <w:sz w:val="24"/>
        </w:rPr>
        <w:t>4</w:t>
      </w:r>
      <w:r w:rsidRPr="0043058A">
        <w:rPr>
          <w:rFonts w:ascii="宋体" w:eastAsia="宋体" w:hAnsi="宋体" w:cs="宋体"/>
          <w:kern w:val="0"/>
          <w:sz w:val="24"/>
        </w:rPr>
        <w:t>年</w:t>
      </w:r>
      <w:r w:rsidRPr="002E2678">
        <w:rPr>
          <w:rFonts w:ascii="宋体" w:eastAsia="宋体" w:hAnsi="宋体" w:cs="宋体"/>
          <w:kern w:val="0"/>
          <w:sz w:val="24"/>
        </w:rPr>
        <w:t>金融硕士（MF）专业学位研究生入学统一考试的科目之一。《金融学综合》考试要力求反映金融硕士专业学位的特点，科学、公平、准确、规范地测评考生的基本素质和综合能力，选拔具有发展潜力的优秀人才入学，为国家的经济建设培养具有良好</w:t>
      </w:r>
      <w:bookmarkStart w:id="0" w:name="_GoBack"/>
      <w:bookmarkEnd w:id="0"/>
      <w:r w:rsidRPr="002E2678">
        <w:rPr>
          <w:rFonts w:ascii="宋体" w:eastAsia="宋体" w:hAnsi="宋体" w:cs="宋体"/>
          <w:kern w:val="0"/>
          <w:sz w:val="24"/>
        </w:rPr>
        <w:t>职业道德、具有较强分析与解决实际问题能力的高层次、应用型、复合型的金融专业人才。</w:t>
      </w:r>
    </w:p>
    <w:p w:rsidR="004A4C08" w:rsidRPr="002E2678" w:rsidRDefault="004A4C08" w:rsidP="001D2AF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kern w:val="0"/>
          <w:sz w:val="24"/>
        </w:rPr>
      </w:pPr>
      <w:r w:rsidRPr="002E2678">
        <w:rPr>
          <w:rFonts w:ascii="宋体" w:eastAsia="宋体" w:hAnsi="宋体" w:cs="宋体"/>
          <w:b/>
          <w:kern w:val="0"/>
          <w:sz w:val="24"/>
        </w:rPr>
        <w:t>（二）考试要求</w:t>
      </w:r>
    </w:p>
    <w:p w:rsidR="004A4C08" w:rsidRPr="002E2678" w:rsidRDefault="004A4C08" w:rsidP="001D2AFB">
      <w:pPr>
        <w:widowControl/>
        <w:spacing w:before="100" w:beforeAutospacing="1" w:after="100" w:afterAutospacing="1" w:line="360" w:lineRule="auto"/>
        <w:ind w:firstLineChars="200" w:firstLine="480"/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/>
          <w:kern w:val="0"/>
          <w:sz w:val="24"/>
        </w:rPr>
        <w:t>测试考生对于与</w:t>
      </w:r>
      <w:r w:rsidR="001D2AFB" w:rsidRPr="002E2678">
        <w:rPr>
          <w:rFonts w:ascii="宋体" w:eastAsia="宋体" w:hAnsi="宋体" w:cs="宋体" w:hint="eastAsia"/>
          <w:kern w:val="0"/>
          <w:sz w:val="24"/>
        </w:rPr>
        <w:t>货币金融学、</w:t>
      </w:r>
      <w:r w:rsidRPr="002E2678">
        <w:rPr>
          <w:rFonts w:ascii="宋体" w:eastAsia="宋体" w:hAnsi="宋体" w:cs="宋体"/>
          <w:kern w:val="0"/>
          <w:sz w:val="24"/>
        </w:rPr>
        <w:t>金融学</w:t>
      </w:r>
      <w:r w:rsidR="001D2AFB" w:rsidRPr="002E2678">
        <w:rPr>
          <w:rFonts w:ascii="宋体" w:eastAsia="宋体" w:hAnsi="宋体" w:cs="宋体" w:hint="eastAsia"/>
          <w:kern w:val="0"/>
          <w:sz w:val="24"/>
        </w:rPr>
        <w:t>基础</w:t>
      </w:r>
      <w:r w:rsidRPr="002E2678">
        <w:rPr>
          <w:rFonts w:ascii="宋体" w:eastAsia="宋体" w:hAnsi="宋体" w:cs="宋体"/>
          <w:kern w:val="0"/>
          <w:sz w:val="24"/>
        </w:rPr>
        <w:t>和公司财务相关的基本概念、基础理论的掌握和运用能力。</w:t>
      </w:r>
    </w:p>
    <w:p w:rsidR="004A4C08" w:rsidRPr="002E2678" w:rsidRDefault="004A4C08" w:rsidP="001D2AF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kern w:val="0"/>
          <w:sz w:val="24"/>
        </w:rPr>
      </w:pPr>
      <w:r w:rsidRPr="002E2678">
        <w:rPr>
          <w:rFonts w:ascii="宋体" w:eastAsia="宋体" w:hAnsi="宋体" w:cs="宋体"/>
          <w:b/>
          <w:kern w:val="0"/>
          <w:sz w:val="24"/>
        </w:rPr>
        <w:t>（三）考试内容</w:t>
      </w:r>
    </w:p>
    <w:p w:rsidR="001D2AFB" w:rsidRPr="002E2678" w:rsidRDefault="001D2AFB" w:rsidP="001D2AFB">
      <w:pPr>
        <w:rPr>
          <w:rFonts w:ascii="宋体" w:eastAsia="宋体" w:hAnsi="宋体" w:cs="宋体"/>
          <w:b/>
          <w:bCs/>
          <w:kern w:val="0"/>
          <w:sz w:val="24"/>
        </w:rPr>
      </w:pPr>
      <w:r w:rsidRPr="002E2678">
        <w:rPr>
          <w:rFonts w:ascii="宋体" w:eastAsia="宋体" w:hAnsi="宋体" w:cs="宋体" w:hint="eastAsia"/>
          <w:b/>
          <w:bCs/>
          <w:kern w:val="0"/>
          <w:sz w:val="24"/>
        </w:rPr>
        <w:t>第一部分 货币金融学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1、货币与货币制度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（1）货币的职能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（2）货币的界说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（3）货币制度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2、金融中介体系以及存款货币银行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（1）中国的金融中介体系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（2）国际金融机构体系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（3）分业经营与混业经营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（4）金融创新与不良债权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3、商业银行业务与管理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（1）商业银行的业务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（2）商业银行的经营原则与管理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4、金融市场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（1）货币市场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（2）投资基金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（3）资本市场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5、中央银行与金融监管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（1）中央银行职能和业务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（2）金融监管的界说和理论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（3）银行监管的国际合作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6、货币供求和货币政策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（1）货币需求理论的发展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（2）现代货币的创造机制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（3）货币供给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（4）货币政策及其目标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（5）货币政策工具、传导机制和中介目标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2E2678" w:rsidRDefault="001D2AFB" w:rsidP="001D2AFB">
      <w:pPr>
        <w:rPr>
          <w:rFonts w:ascii="宋体" w:eastAsia="宋体" w:hAnsi="宋体" w:cs="宋体"/>
          <w:b/>
          <w:bCs/>
          <w:kern w:val="0"/>
          <w:sz w:val="24"/>
        </w:rPr>
      </w:pPr>
      <w:r w:rsidRPr="002E2678">
        <w:rPr>
          <w:rFonts w:ascii="宋体" w:eastAsia="宋体" w:hAnsi="宋体" w:cs="宋体" w:hint="eastAsia"/>
          <w:b/>
          <w:bCs/>
          <w:kern w:val="0"/>
          <w:sz w:val="24"/>
        </w:rPr>
        <w:t>第二部分 金融学基础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1、分散化、资产组合的机会以及选择</w:t>
      </w:r>
    </w:p>
    <w:p w:rsidR="00DE4106" w:rsidRPr="00562BF3" w:rsidRDefault="00DE4106" w:rsidP="001D2AFB">
      <w:pPr>
        <w:rPr>
          <w:rFonts w:ascii="宋体" w:eastAsia="宋体" w:hAnsi="宋体" w:cs="宋体"/>
          <w:kern w:val="0"/>
          <w:sz w:val="24"/>
        </w:rPr>
      </w:pPr>
      <w:r w:rsidRPr="00562BF3">
        <w:rPr>
          <w:rFonts w:ascii="宋体" w:eastAsia="宋体" w:hAnsi="宋体" w:cs="宋体" w:hint="eastAsia"/>
          <w:kern w:val="0"/>
          <w:sz w:val="24"/>
        </w:rPr>
        <w:t>（1）预期收益与标准差</w:t>
      </w:r>
    </w:p>
    <w:p w:rsidR="00106B4D" w:rsidRPr="00562BF3" w:rsidRDefault="00106B4D" w:rsidP="001D2AFB">
      <w:pPr>
        <w:rPr>
          <w:rFonts w:ascii="宋体" w:eastAsia="宋体" w:hAnsi="宋体" w:cs="宋体"/>
          <w:kern w:val="0"/>
          <w:sz w:val="24"/>
        </w:rPr>
      </w:pPr>
      <w:r w:rsidRPr="00562BF3">
        <w:rPr>
          <w:rFonts w:ascii="宋体" w:eastAsia="宋体" w:hAnsi="宋体" w:cs="宋体" w:hint="eastAsia"/>
          <w:kern w:val="0"/>
          <w:sz w:val="24"/>
        </w:rPr>
        <w:t>（2）风险转移的三</w:t>
      </w:r>
      <w:r w:rsidR="00B224EC" w:rsidRPr="00562BF3">
        <w:rPr>
          <w:rFonts w:ascii="宋体" w:eastAsia="宋体" w:hAnsi="宋体" w:cs="宋体" w:hint="eastAsia"/>
          <w:kern w:val="0"/>
          <w:sz w:val="24"/>
        </w:rPr>
        <w:t>种方法</w:t>
      </w:r>
    </w:p>
    <w:p w:rsidR="001D2AFB" w:rsidRPr="00562BF3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562BF3">
        <w:rPr>
          <w:rFonts w:ascii="宋体" w:eastAsia="宋体" w:hAnsi="宋体" w:cs="宋体" w:hint="eastAsia"/>
          <w:kern w:val="0"/>
          <w:sz w:val="24"/>
        </w:rPr>
        <w:t>（</w:t>
      </w:r>
      <w:r w:rsidR="00B224EC" w:rsidRPr="00562BF3">
        <w:rPr>
          <w:rFonts w:ascii="宋体" w:eastAsia="宋体" w:hAnsi="宋体" w:cs="宋体"/>
          <w:kern w:val="0"/>
          <w:sz w:val="24"/>
        </w:rPr>
        <w:t>3</w:t>
      </w:r>
      <w:r w:rsidRPr="00562BF3">
        <w:rPr>
          <w:rFonts w:ascii="宋体" w:eastAsia="宋体" w:hAnsi="宋体" w:cs="宋体" w:hint="eastAsia"/>
          <w:kern w:val="0"/>
          <w:sz w:val="24"/>
        </w:rPr>
        <w:t>）分散化原理</w:t>
      </w:r>
    </w:p>
    <w:p w:rsidR="001D2AFB" w:rsidRPr="00562BF3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562BF3">
        <w:rPr>
          <w:rFonts w:ascii="宋体" w:eastAsia="宋体" w:hAnsi="宋体" w:cs="宋体" w:hint="eastAsia"/>
          <w:kern w:val="0"/>
          <w:sz w:val="24"/>
        </w:rPr>
        <w:t>（</w:t>
      </w:r>
      <w:r w:rsidR="00B224EC" w:rsidRPr="00562BF3">
        <w:rPr>
          <w:rFonts w:ascii="宋体" w:eastAsia="宋体" w:hAnsi="宋体" w:cs="宋体"/>
          <w:kern w:val="0"/>
          <w:sz w:val="24"/>
        </w:rPr>
        <w:t>4</w:t>
      </w:r>
      <w:r w:rsidRPr="00562BF3">
        <w:rPr>
          <w:rFonts w:ascii="宋体" w:eastAsia="宋体" w:hAnsi="宋体" w:cs="宋体" w:hint="eastAsia"/>
          <w:kern w:val="0"/>
          <w:sz w:val="24"/>
        </w:rPr>
        <w:t>）个人资产组合选择的过程</w:t>
      </w:r>
    </w:p>
    <w:p w:rsidR="001D2AFB" w:rsidRPr="00562BF3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562BF3">
        <w:rPr>
          <w:rFonts w:ascii="宋体" w:eastAsia="宋体" w:hAnsi="宋体" w:cs="宋体" w:hint="eastAsia"/>
          <w:kern w:val="0"/>
          <w:sz w:val="24"/>
        </w:rPr>
        <w:t>（</w:t>
      </w:r>
      <w:r w:rsidR="00B224EC" w:rsidRPr="00562BF3">
        <w:rPr>
          <w:rFonts w:ascii="宋体" w:eastAsia="宋体" w:hAnsi="宋体" w:cs="宋体"/>
          <w:kern w:val="0"/>
          <w:sz w:val="24"/>
        </w:rPr>
        <w:t>5</w:t>
      </w:r>
      <w:r w:rsidRPr="00562BF3">
        <w:rPr>
          <w:rFonts w:ascii="宋体" w:eastAsia="宋体" w:hAnsi="宋体" w:cs="宋体" w:hint="eastAsia"/>
          <w:kern w:val="0"/>
          <w:sz w:val="24"/>
        </w:rPr>
        <w:t>）预期收益率和风险之间的权衡取舍</w:t>
      </w:r>
    </w:p>
    <w:p w:rsidR="001D2AFB" w:rsidRPr="00562BF3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562BF3">
        <w:rPr>
          <w:rFonts w:ascii="宋体" w:eastAsia="宋体" w:hAnsi="宋体" w:cs="宋体" w:hint="eastAsia"/>
          <w:kern w:val="0"/>
          <w:sz w:val="24"/>
        </w:rPr>
        <w:t>（</w:t>
      </w:r>
      <w:r w:rsidR="00B224EC" w:rsidRPr="00562BF3">
        <w:rPr>
          <w:rFonts w:ascii="宋体" w:eastAsia="宋体" w:hAnsi="宋体" w:cs="宋体"/>
          <w:kern w:val="0"/>
          <w:sz w:val="24"/>
        </w:rPr>
        <w:t>6</w:t>
      </w:r>
      <w:r w:rsidRPr="00562BF3">
        <w:rPr>
          <w:rFonts w:ascii="宋体" w:eastAsia="宋体" w:hAnsi="宋体" w:cs="宋体" w:hint="eastAsia"/>
          <w:kern w:val="0"/>
          <w:sz w:val="24"/>
        </w:rPr>
        <w:t>）运用多种风险资产的有效分散化</w:t>
      </w:r>
    </w:p>
    <w:p w:rsidR="001D2AFB" w:rsidRPr="00562BF3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562BF3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562BF3">
        <w:rPr>
          <w:rFonts w:ascii="宋体" w:eastAsia="宋体" w:hAnsi="宋体" w:cs="宋体" w:hint="eastAsia"/>
          <w:kern w:val="0"/>
          <w:sz w:val="24"/>
        </w:rPr>
        <w:t>2、资本市场均衡</w:t>
      </w:r>
    </w:p>
    <w:p w:rsidR="001D2AFB" w:rsidRPr="00562BF3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562BF3">
        <w:rPr>
          <w:rFonts w:ascii="宋体" w:eastAsia="宋体" w:hAnsi="宋体" w:cs="宋体" w:hint="eastAsia"/>
          <w:kern w:val="0"/>
          <w:sz w:val="24"/>
        </w:rPr>
        <w:t>（1）资本资产定价模型</w:t>
      </w:r>
    </w:p>
    <w:p w:rsidR="001D2AFB" w:rsidRPr="00562BF3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562BF3">
        <w:rPr>
          <w:rFonts w:ascii="宋体" w:eastAsia="宋体" w:hAnsi="宋体" w:cs="宋体" w:hint="eastAsia"/>
          <w:kern w:val="0"/>
          <w:sz w:val="24"/>
        </w:rPr>
        <w:t>（2）市场资产组合风险溢价的决定因素</w:t>
      </w:r>
    </w:p>
    <w:p w:rsidR="001D2AFB" w:rsidRPr="00562BF3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562BF3">
        <w:rPr>
          <w:rFonts w:ascii="宋体" w:eastAsia="宋体" w:hAnsi="宋体" w:cs="宋体" w:hint="eastAsia"/>
          <w:kern w:val="0"/>
          <w:sz w:val="24"/>
        </w:rPr>
        <w:t>（3）单个证券的贝塔系数和风险溢价</w:t>
      </w:r>
    </w:p>
    <w:p w:rsidR="001D2AFB" w:rsidRPr="00562BF3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562BF3">
        <w:rPr>
          <w:rFonts w:ascii="宋体" w:eastAsia="宋体" w:hAnsi="宋体" w:cs="宋体" w:hint="eastAsia"/>
          <w:kern w:val="0"/>
          <w:sz w:val="24"/>
        </w:rPr>
        <w:t>（4）在资产组合选择的过程中运用资本资产定价模型</w:t>
      </w:r>
    </w:p>
    <w:p w:rsidR="001D2AFB" w:rsidRPr="00562BF3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562BF3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562BF3">
        <w:rPr>
          <w:rFonts w:ascii="宋体" w:eastAsia="宋体" w:hAnsi="宋体" w:cs="宋体" w:hint="eastAsia"/>
          <w:kern w:val="0"/>
          <w:sz w:val="24"/>
        </w:rPr>
        <w:t>3、远期市场和期货市场</w:t>
      </w:r>
    </w:p>
    <w:p w:rsidR="001D2AFB" w:rsidRPr="00562BF3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562BF3">
        <w:rPr>
          <w:rFonts w:ascii="宋体" w:eastAsia="宋体" w:hAnsi="宋体" w:cs="宋体" w:hint="eastAsia"/>
          <w:kern w:val="0"/>
          <w:sz w:val="24"/>
        </w:rPr>
        <w:t>（1）一价定律和套利</w:t>
      </w:r>
    </w:p>
    <w:p w:rsidR="001D2AFB" w:rsidRPr="00562BF3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562BF3">
        <w:rPr>
          <w:rFonts w:ascii="宋体" w:eastAsia="宋体" w:hAnsi="宋体" w:cs="宋体" w:hint="eastAsia"/>
          <w:kern w:val="0"/>
          <w:sz w:val="24"/>
        </w:rPr>
        <w:t>（2）有效市场假说</w:t>
      </w:r>
    </w:p>
    <w:p w:rsidR="001D2AFB" w:rsidRPr="00562BF3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562BF3">
        <w:rPr>
          <w:rFonts w:ascii="宋体" w:eastAsia="宋体" w:hAnsi="宋体" w:cs="宋体" w:hint="eastAsia"/>
          <w:kern w:val="0"/>
          <w:sz w:val="24"/>
        </w:rPr>
        <w:t>（3）远期-即期价格平价关系</w:t>
      </w:r>
    </w:p>
    <w:p w:rsidR="00214E30" w:rsidRPr="00562BF3" w:rsidRDefault="00214E30" w:rsidP="001D2AFB">
      <w:pPr>
        <w:rPr>
          <w:rFonts w:ascii="宋体" w:eastAsia="宋体" w:hAnsi="宋体" w:cs="宋体"/>
          <w:kern w:val="0"/>
          <w:sz w:val="24"/>
        </w:rPr>
      </w:pPr>
      <w:r w:rsidRPr="00562BF3">
        <w:rPr>
          <w:rFonts w:ascii="宋体" w:eastAsia="宋体" w:hAnsi="宋体" w:cs="宋体" w:hint="eastAsia"/>
          <w:kern w:val="0"/>
          <w:sz w:val="24"/>
        </w:rPr>
        <w:t>（4）“隐含性”无风险利率与“隐含性”</w:t>
      </w:r>
      <w:r w:rsidR="009E5008" w:rsidRPr="00562BF3">
        <w:rPr>
          <w:rFonts w:ascii="宋体" w:eastAsia="宋体" w:hAnsi="宋体" w:cs="宋体" w:hint="eastAsia"/>
          <w:kern w:val="0"/>
          <w:sz w:val="24"/>
        </w:rPr>
        <w:t>红利</w:t>
      </w:r>
    </w:p>
    <w:p w:rsidR="001D2AFB" w:rsidRPr="00562BF3" w:rsidRDefault="00B224EC" w:rsidP="001D2AFB">
      <w:pPr>
        <w:rPr>
          <w:rFonts w:ascii="宋体" w:eastAsia="宋体" w:hAnsi="宋体" w:cs="宋体"/>
          <w:kern w:val="0"/>
          <w:sz w:val="24"/>
        </w:rPr>
      </w:pPr>
      <w:r w:rsidRPr="00562BF3">
        <w:rPr>
          <w:rFonts w:ascii="宋体" w:eastAsia="宋体" w:hAnsi="宋体" w:cs="宋体" w:hint="eastAsia"/>
          <w:kern w:val="0"/>
          <w:sz w:val="24"/>
        </w:rPr>
        <w:t>（5）金融期货</w:t>
      </w:r>
    </w:p>
    <w:p w:rsidR="00CE36A5" w:rsidRPr="00562BF3" w:rsidRDefault="00CE36A5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562BF3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562BF3">
        <w:rPr>
          <w:rFonts w:ascii="宋体" w:eastAsia="宋体" w:hAnsi="宋体" w:cs="宋体" w:hint="eastAsia"/>
          <w:kern w:val="0"/>
          <w:sz w:val="24"/>
        </w:rPr>
        <w:t>4、期权市场以及或有要求权市场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562BF3">
        <w:rPr>
          <w:rFonts w:ascii="宋体" w:eastAsia="宋体" w:hAnsi="宋体" w:cs="宋体" w:hint="eastAsia"/>
          <w:kern w:val="0"/>
          <w:sz w:val="24"/>
        </w:rPr>
        <w:t>（1）使用期权进行投资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（2）卖出期权与买入期权的平价关系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（3）波动性与期权价格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（4）二项式期权定价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2E2678" w:rsidRDefault="001D2AFB" w:rsidP="001D2AFB">
      <w:pPr>
        <w:rPr>
          <w:rFonts w:ascii="宋体" w:eastAsia="宋体" w:hAnsi="宋体" w:cs="宋体"/>
          <w:b/>
          <w:bCs/>
          <w:kern w:val="0"/>
          <w:sz w:val="24"/>
        </w:rPr>
      </w:pPr>
      <w:r w:rsidRPr="002E2678">
        <w:rPr>
          <w:rFonts w:ascii="宋体" w:eastAsia="宋体" w:hAnsi="宋体" w:cs="宋体" w:hint="eastAsia"/>
          <w:b/>
          <w:bCs/>
          <w:kern w:val="0"/>
          <w:sz w:val="24"/>
        </w:rPr>
        <w:t>第三部分 公司财务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lastRenderedPageBreak/>
        <w:t>1、财务报表分析与长期财务计划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（1）会计报表及分析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（2）财务比率分析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（3）杜邦恒等式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（4）财务模型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（5）外部融资与增长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2、资本预算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（1）折现现金流估值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（2）投资决策方法比较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（3）现金流估算与投资决策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（4）敏感性分析和盈亏平衡分析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3、价值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（1）利率和债券估值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（2）股票估值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4、公司资本成本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（1）权益资本成本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</w:t>
      </w:r>
      <w:r w:rsidRPr="002E2678">
        <w:rPr>
          <w:rFonts w:ascii="宋体" w:eastAsia="宋体" w:hAnsi="宋体" w:cs="宋体"/>
          <w:kern w:val="0"/>
          <w:sz w:val="24"/>
        </w:rPr>
        <w:t>2</w:t>
      </w:r>
      <w:r w:rsidRPr="002E2678">
        <w:rPr>
          <w:rFonts w:ascii="宋体" w:eastAsia="宋体" w:hAnsi="宋体" w:cs="宋体" w:hint="eastAsia"/>
          <w:kern w:val="0"/>
          <w:sz w:val="24"/>
        </w:rPr>
        <w:t>）贝塔（</w:t>
      </w:r>
      <w:r w:rsidRPr="002E2678">
        <w:rPr>
          <w:rFonts w:ascii="宋体" w:eastAsia="宋体" w:hAnsi="宋体" w:cs="Arial"/>
          <w:color w:val="333333"/>
          <w:spacing w:val="8"/>
          <w:sz w:val="23"/>
          <w:szCs w:val="23"/>
        </w:rPr>
        <w:sym w:font="Symbol" w:char="F062"/>
      </w:r>
      <w:r w:rsidRPr="002E2678">
        <w:rPr>
          <w:rFonts w:ascii="宋体" w:eastAsia="宋体" w:hAnsi="宋体" w:cs="宋体" w:hint="eastAsia"/>
          <w:kern w:val="0"/>
          <w:sz w:val="24"/>
        </w:rPr>
        <w:t>）的估计与影响因素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（3）股利折现模型法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（4）部门和项目的资本成本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（5）债务资本成本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（6）加权平均资本成本（WACC）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5、资本结构与公司价值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（1）完全市场中的资本结构与公司价值（M&amp;M理论）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（2）财务困境成本与资本结构的权衡理论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（3）信号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（4）优序融资理论</w:t>
      </w:r>
    </w:p>
    <w:p w:rsidR="00E44C60" w:rsidRPr="002E2678" w:rsidRDefault="002E2678" w:rsidP="002E2678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kern w:val="0"/>
          <w:sz w:val="24"/>
        </w:rPr>
      </w:pPr>
      <w:r>
        <w:rPr>
          <w:rFonts w:ascii="宋体" w:eastAsia="宋体" w:hAnsi="宋体" w:cs="宋体" w:hint="eastAsia"/>
          <w:b/>
          <w:kern w:val="0"/>
          <w:sz w:val="24"/>
        </w:rPr>
        <w:t>（</w:t>
      </w:r>
      <w:r w:rsidR="00873405">
        <w:rPr>
          <w:rFonts w:ascii="宋体" w:eastAsia="宋体" w:hAnsi="宋体" w:cs="宋体" w:hint="eastAsia"/>
          <w:b/>
          <w:kern w:val="0"/>
          <w:sz w:val="24"/>
        </w:rPr>
        <w:t>四</w:t>
      </w:r>
      <w:r>
        <w:rPr>
          <w:rFonts w:ascii="宋体" w:eastAsia="宋体" w:hAnsi="宋体" w:cs="宋体" w:hint="eastAsia"/>
          <w:b/>
          <w:kern w:val="0"/>
          <w:sz w:val="24"/>
        </w:rPr>
        <w:t>）</w:t>
      </w:r>
      <w:r w:rsidR="00E44C60" w:rsidRPr="002E2678">
        <w:rPr>
          <w:rFonts w:ascii="宋体" w:eastAsia="宋体" w:hAnsi="宋体" w:cs="宋体" w:hint="eastAsia"/>
          <w:b/>
          <w:kern w:val="0"/>
          <w:sz w:val="24"/>
        </w:rPr>
        <w:t>主要参考教材</w:t>
      </w:r>
    </w:p>
    <w:p w:rsidR="00056909" w:rsidRPr="002E2678" w:rsidRDefault="00873255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/>
          <w:kern w:val="0"/>
          <w:sz w:val="24"/>
        </w:rPr>
        <w:t>1、</w:t>
      </w:r>
      <w:r w:rsidR="00056909" w:rsidRPr="002E2678">
        <w:rPr>
          <w:rFonts w:ascii="宋体" w:eastAsia="宋体" w:hAnsi="宋体" w:cs="宋体"/>
          <w:kern w:val="0"/>
          <w:sz w:val="24"/>
        </w:rPr>
        <w:t xml:space="preserve"> 黄达，《金融学</w:t>
      </w:r>
      <w:r w:rsidR="00AA1A9D" w:rsidRPr="002E2678">
        <w:rPr>
          <w:rFonts w:ascii="宋体" w:eastAsia="宋体" w:hAnsi="宋体" w:cs="宋体" w:hint="eastAsia"/>
          <w:kern w:val="0"/>
          <w:sz w:val="24"/>
        </w:rPr>
        <w:t>（第四版）</w:t>
      </w:r>
      <w:r w:rsidR="00056909" w:rsidRPr="002E2678">
        <w:rPr>
          <w:rFonts w:ascii="宋体" w:eastAsia="宋体" w:hAnsi="宋体" w:cs="宋体"/>
          <w:kern w:val="0"/>
          <w:sz w:val="24"/>
        </w:rPr>
        <w:t>》，中国人民大学出版社</w:t>
      </w:r>
      <w:r w:rsidR="009A045F" w:rsidRPr="002E2678">
        <w:rPr>
          <w:rFonts w:ascii="宋体" w:eastAsia="宋体" w:hAnsi="宋体" w:cs="宋体" w:hint="eastAsia"/>
          <w:kern w:val="0"/>
          <w:sz w:val="24"/>
        </w:rPr>
        <w:t>，2</w:t>
      </w:r>
      <w:r w:rsidR="009A045F" w:rsidRPr="002E2678">
        <w:rPr>
          <w:rFonts w:ascii="宋体" w:eastAsia="宋体" w:hAnsi="宋体" w:cs="宋体"/>
          <w:kern w:val="0"/>
          <w:sz w:val="24"/>
        </w:rPr>
        <w:t>017</w:t>
      </w:r>
      <w:r w:rsidR="009A045F" w:rsidRPr="002E2678">
        <w:rPr>
          <w:rFonts w:ascii="宋体" w:eastAsia="宋体" w:hAnsi="宋体" w:cs="宋体" w:hint="eastAsia"/>
          <w:kern w:val="0"/>
          <w:sz w:val="24"/>
        </w:rPr>
        <w:t>年。</w:t>
      </w:r>
    </w:p>
    <w:p w:rsidR="00873255" w:rsidRPr="002E2678" w:rsidRDefault="00056909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/>
          <w:kern w:val="0"/>
          <w:sz w:val="24"/>
        </w:rPr>
        <w:t>2</w:t>
      </w:r>
      <w:r w:rsidRPr="002E2678">
        <w:rPr>
          <w:rFonts w:ascii="宋体" w:eastAsia="宋体" w:hAnsi="宋体" w:cs="宋体" w:hint="eastAsia"/>
          <w:kern w:val="0"/>
          <w:sz w:val="24"/>
        </w:rPr>
        <w:t xml:space="preserve">、 </w:t>
      </w:r>
      <w:r w:rsidR="00A675D0" w:rsidRPr="002E2678">
        <w:rPr>
          <w:rFonts w:ascii="宋体" w:eastAsia="宋体" w:hAnsi="宋体" w:cs="宋体" w:hint="eastAsia"/>
          <w:kern w:val="0"/>
          <w:sz w:val="24"/>
        </w:rPr>
        <w:t>博迪，莫顿和克里顿著，《金融学（第二版）》，</w:t>
      </w:r>
      <w:r w:rsidR="002268A0" w:rsidRPr="002E2678">
        <w:rPr>
          <w:rFonts w:ascii="宋体" w:eastAsia="宋体" w:hAnsi="宋体" w:cs="宋体" w:hint="eastAsia"/>
          <w:kern w:val="0"/>
          <w:sz w:val="24"/>
        </w:rPr>
        <w:t>中国人民大学出版社，2</w:t>
      </w:r>
      <w:r w:rsidR="002268A0" w:rsidRPr="002E2678">
        <w:rPr>
          <w:rFonts w:ascii="宋体" w:eastAsia="宋体" w:hAnsi="宋体" w:cs="宋体"/>
          <w:kern w:val="0"/>
          <w:sz w:val="24"/>
        </w:rPr>
        <w:t>010</w:t>
      </w:r>
      <w:r w:rsidR="002268A0" w:rsidRPr="002E2678">
        <w:rPr>
          <w:rFonts w:ascii="宋体" w:eastAsia="宋体" w:hAnsi="宋体" w:cs="宋体" w:hint="eastAsia"/>
          <w:kern w:val="0"/>
          <w:sz w:val="24"/>
        </w:rPr>
        <w:t>年。</w:t>
      </w:r>
    </w:p>
    <w:p w:rsidR="00873255" w:rsidRPr="002E2678" w:rsidRDefault="00056909" w:rsidP="00734C54">
      <w:pPr>
        <w:rPr>
          <w:rFonts w:ascii="宋体" w:eastAsia="宋体" w:hAnsi="宋体"/>
        </w:rPr>
      </w:pPr>
      <w:r w:rsidRPr="002E2678">
        <w:rPr>
          <w:rFonts w:ascii="宋体" w:eastAsia="宋体" w:hAnsi="宋体" w:cs="宋体"/>
          <w:kern w:val="0"/>
          <w:sz w:val="24"/>
        </w:rPr>
        <w:t>3</w:t>
      </w:r>
      <w:r w:rsidR="00873255" w:rsidRPr="002E2678">
        <w:rPr>
          <w:rFonts w:ascii="宋体" w:eastAsia="宋体" w:hAnsi="宋体" w:cs="宋体"/>
          <w:kern w:val="0"/>
          <w:sz w:val="24"/>
        </w:rPr>
        <w:t xml:space="preserve">、 </w:t>
      </w:r>
      <w:r w:rsidR="001D2AFB" w:rsidRPr="002E2678">
        <w:rPr>
          <w:rFonts w:ascii="宋体" w:eastAsia="宋体" w:hAnsi="宋体" w:cs="宋体"/>
          <w:kern w:val="0"/>
          <w:sz w:val="24"/>
        </w:rPr>
        <w:t>[美] 斯蒂芬 A. 罗斯，伦道夫 W. 威斯特菲 著，吴世农，沈艺峰，王志强 译，《公司理财》，原书第11版，机械工业出版社，2017年。</w:t>
      </w:r>
    </w:p>
    <w:sectPr w:rsidR="00873255" w:rsidRPr="002E2678" w:rsidSect="005B2C8E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348" w:rsidRDefault="00141348" w:rsidP="001D2AFB">
      <w:r>
        <w:separator/>
      </w:r>
    </w:p>
  </w:endnote>
  <w:endnote w:type="continuationSeparator" w:id="0">
    <w:p w:rsidR="00141348" w:rsidRDefault="00141348" w:rsidP="001D2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348" w:rsidRDefault="00141348" w:rsidP="001D2AFB">
      <w:r>
        <w:separator/>
      </w:r>
    </w:p>
  </w:footnote>
  <w:footnote w:type="continuationSeparator" w:id="0">
    <w:p w:rsidR="00141348" w:rsidRDefault="00141348" w:rsidP="001D2A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C08"/>
    <w:rsid w:val="00056909"/>
    <w:rsid w:val="000821A8"/>
    <w:rsid w:val="000E0B0F"/>
    <w:rsid w:val="000E0BB1"/>
    <w:rsid w:val="00106B4D"/>
    <w:rsid w:val="00141348"/>
    <w:rsid w:val="00161FDD"/>
    <w:rsid w:val="0017647C"/>
    <w:rsid w:val="001B5900"/>
    <w:rsid w:val="001D2AFB"/>
    <w:rsid w:val="001E7542"/>
    <w:rsid w:val="00214E30"/>
    <w:rsid w:val="00223AAB"/>
    <w:rsid w:val="002268A0"/>
    <w:rsid w:val="00277408"/>
    <w:rsid w:val="002A427D"/>
    <w:rsid w:val="002E2678"/>
    <w:rsid w:val="003713F4"/>
    <w:rsid w:val="003A0694"/>
    <w:rsid w:val="0043058A"/>
    <w:rsid w:val="0048789E"/>
    <w:rsid w:val="004A4C08"/>
    <w:rsid w:val="004B503C"/>
    <w:rsid w:val="004C6106"/>
    <w:rsid w:val="004E25F2"/>
    <w:rsid w:val="004F2D04"/>
    <w:rsid w:val="00504D50"/>
    <w:rsid w:val="00523D74"/>
    <w:rsid w:val="005345B5"/>
    <w:rsid w:val="00544E4B"/>
    <w:rsid w:val="0056025B"/>
    <w:rsid w:val="00562BF3"/>
    <w:rsid w:val="005B2C8E"/>
    <w:rsid w:val="006876CD"/>
    <w:rsid w:val="00734C54"/>
    <w:rsid w:val="007748F5"/>
    <w:rsid w:val="007769B4"/>
    <w:rsid w:val="00845B34"/>
    <w:rsid w:val="0085334D"/>
    <w:rsid w:val="00873255"/>
    <w:rsid w:val="00873405"/>
    <w:rsid w:val="008879A0"/>
    <w:rsid w:val="00943FD3"/>
    <w:rsid w:val="009638CB"/>
    <w:rsid w:val="009A045F"/>
    <w:rsid w:val="009B268A"/>
    <w:rsid w:val="009C0E9B"/>
    <w:rsid w:val="009E5008"/>
    <w:rsid w:val="00A55F33"/>
    <w:rsid w:val="00A675D0"/>
    <w:rsid w:val="00AA1A9D"/>
    <w:rsid w:val="00AB7798"/>
    <w:rsid w:val="00AE6248"/>
    <w:rsid w:val="00B224EC"/>
    <w:rsid w:val="00B24E56"/>
    <w:rsid w:val="00B36DEC"/>
    <w:rsid w:val="00B45A60"/>
    <w:rsid w:val="00B713A0"/>
    <w:rsid w:val="00BA5570"/>
    <w:rsid w:val="00BB112E"/>
    <w:rsid w:val="00C03BE3"/>
    <w:rsid w:val="00C04BFE"/>
    <w:rsid w:val="00C3374E"/>
    <w:rsid w:val="00C80734"/>
    <w:rsid w:val="00CE36A5"/>
    <w:rsid w:val="00D0347F"/>
    <w:rsid w:val="00D55A79"/>
    <w:rsid w:val="00D7367D"/>
    <w:rsid w:val="00DD3CEA"/>
    <w:rsid w:val="00DE16F5"/>
    <w:rsid w:val="00DE4106"/>
    <w:rsid w:val="00E237DC"/>
    <w:rsid w:val="00E303CF"/>
    <w:rsid w:val="00E44C60"/>
    <w:rsid w:val="00EA4251"/>
    <w:rsid w:val="00F30147"/>
    <w:rsid w:val="00F318DC"/>
    <w:rsid w:val="00F400B3"/>
    <w:rsid w:val="00F452A2"/>
    <w:rsid w:val="00F6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50C0EE-AF76-CA4A-B16D-6F9237059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4A4C0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A4C08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4A4C08"/>
    <w:rPr>
      <w:b/>
      <w:bCs/>
    </w:rPr>
  </w:style>
  <w:style w:type="paragraph" w:styleId="a4">
    <w:name w:val="Normal (Web)"/>
    <w:basedOn w:val="a"/>
    <w:uiPriority w:val="99"/>
    <w:semiHidden/>
    <w:unhideWhenUsed/>
    <w:rsid w:val="004A4C0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backword">
    <w:name w:val="backword"/>
    <w:basedOn w:val="a0"/>
    <w:rsid w:val="004A4C08"/>
  </w:style>
  <w:style w:type="paragraph" w:customStyle="1" w:styleId="speed-page-tts">
    <w:name w:val="speed-page-tts"/>
    <w:basedOn w:val="a"/>
    <w:rsid w:val="008732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smart-answer-keyword">
    <w:name w:val="smart-answer-keyword"/>
    <w:basedOn w:val="a0"/>
    <w:rsid w:val="00873255"/>
  </w:style>
  <w:style w:type="character" w:styleId="a5">
    <w:name w:val="Hyperlink"/>
    <w:basedOn w:val="a0"/>
    <w:uiPriority w:val="99"/>
    <w:semiHidden/>
    <w:unhideWhenUsed/>
    <w:rsid w:val="00BB112E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1D2A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1D2AFB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1D2A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1D2A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5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2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6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82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39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49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82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96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84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1209</Characters>
  <Application>Microsoft Office Word</Application>
  <DocSecurity>0</DocSecurity>
  <Lines>10</Lines>
  <Paragraphs>2</Paragraphs>
  <ScaleCrop>false</ScaleCrop>
  <Company>China University of Petroleum (Beijing)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Joerg Ming Qi</dc:creator>
  <cp:keywords/>
  <dc:description/>
  <cp:lastModifiedBy>Admin</cp:lastModifiedBy>
  <cp:revision>5</cp:revision>
  <dcterms:created xsi:type="dcterms:W3CDTF">2023-09-21T00:13:00Z</dcterms:created>
  <dcterms:modified xsi:type="dcterms:W3CDTF">2023-09-21T00:20:00Z</dcterms:modified>
</cp:coreProperties>
</file>