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FD73" w14:textId="247EE67E" w:rsidR="00FF5F29" w:rsidRDefault="00C96966" w:rsidP="00D84E0E">
      <w:pPr>
        <w:jc w:val="center"/>
        <w:rPr>
          <w:rFonts w:ascii="黑体" w:eastAsia="黑体" w:hAnsi="黑体"/>
          <w:b/>
          <w:sz w:val="30"/>
          <w:szCs w:val="30"/>
        </w:rPr>
      </w:pPr>
      <w:r>
        <w:rPr>
          <w:rFonts w:ascii="黑体" w:eastAsia="黑体" w:hAnsi="黑体" w:hint="eastAsia"/>
          <w:b/>
          <w:sz w:val="30"/>
          <w:szCs w:val="30"/>
        </w:rPr>
        <w:t>202</w:t>
      </w:r>
      <w:r w:rsidR="00EB419B">
        <w:rPr>
          <w:rFonts w:ascii="黑体" w:eastAsia="黑体" w:hAnsi="黑体"/>
          <w:b/>
          <w:sz w:val="30"/>
          <w:szCs w:val="30"/>
        </w:rPr>
        <w:t>5</w:t>
      </w:r>
      <w:r>
        <w:rPr>
          <w:rFonts w:ascii="黑体" w:eastAsia="黑体" w:hAnsi="黑体" w:hint="eastAsia"/>
          <w:b/>
          <w:sz w:val="30"/>
          <w:szCs w:val="30"/>
        </w:rPr>
        <w:t>年安全与海洋工程学院校级基地（A类）专业学位研究生导师组招生宣传材料</w:t>
      </w:r>
    </w:p>
    <w:p w14:paraId="2FACFB28" w14:textId="297544FF" w:rsidR="00FF5F29" w:rsidRDefault="00990879" w:rsidP="00990879">
      <w:pPr>
        <w:widowControl/>
        <w:tabs>
          <w:tab w:val="left" w:pos="312"/>
        </w:tabs>
        <w:spacing w:beforeLines="100" w:before="312"/>
        <w:jc w:val="left"/>
        <w:rPr>
          <w:rFonts w:ascii="Source Han Sans CN Medium" w:eastAsia="微软雅黑" w:hAnsi="Source Han Sans CN Medium" w:cs="宋体" w:hint="eastAsia"/>
          <w:b/>
          <w:bCs/>
          <w:color w:val="000000"/>
          <w:kern w:val="0"/>
          <w:sz w:val="28"/>
          <w:szCs w:val="28"/>
        </w:rPr>
      </w:pPr>
      <w:r>
        <w:rPr>
          <w:rFonts w:ascii="Source Han Sans CN Medium" w:eastAsia="微软雅黑" w:hAnsi="Source Han Sans CN Medium" w:cs="宋体" w:hint="eastAsia"/>
          <w:b/>
          <w:bCs/>
          <w:color w:val="000000"/>
          <w:kern w:val="0"/>
          <w:sz w:val="28"/>
          <w:szCs w:val="28"/>
        </w:rPr>
        <w:t>1</w:t>
      </w:r>
      <w:r>
        <w:rPr>
          <w:rFonts w:ascii="Source Han Sans CN Medium" w:eastAsia="微软雅黑" w:hAnsi="Source Han Sans CN Medium" w:cs="宋体"/>
          <w:b/>
          <w:bCs/>
          <w:color w:val="000000"/>
          <w:kern w:val="0"/>
          <w:sz w:val="28"/>
          <w:szCs w:val="28"/>
        </w:rPr>
        <w:t>.</w:t>
      </w:r>
      <w:r w:rsidR="001B5A1D" w:rsidRPr="001B5A1D">
        <w:rPr>
          <w:rFonts w:ascii="Source Han Sans CN Medium" w:eastAsia="微软雅黑" w:hAnsi="Source Han Sans CN Medium" w:cs="宋体" w:hint="eastAsia"/>
          <w:b/>
          <w:bCs/>
          <w:color w:val="000000"/>
          <w:kern w:val="0"/>
          <w:sz w:val="28"/>
          <w:szCs w:val="28"/>
        </w:rPr>
        <w:t>中海油研究总院有限责任公司</w:t>
      </w:r>
    </w:p>
    <w:p w14:paraId="1A2BFA2F" w14:textId="77777777" w:rsidR="00FF5F29" w:rsidRDefault="00C96966">
      <w:pPr>
        <w:widowControl/>
        <w:jc w:val="left"/>
        <w:rPr>
          <w:rFonts w:ascii="微软雅黑" w:eastAsia="微软雅黑" w:hAnsi="微软雅黑" w:cs="宋体"/>
          <w:color w:val="FF0000"/>
          <w:kern w:val="0"/>
          <w:sz w:val="27"/>
          <w:szCs w:val="27"/>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0211DD65"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中海油研究总院有限责任公司（以下简称“研究总院”）是中国海油面向全球能源技术创新发展的综合性研究机构，是中国海油的战略规划和决策支持中心、科技创新和技术研发中心、技术服务和成果转化中心、高端人才培养和储备中心。研究涉及地球物理、勘探地质、开发、钻采、海洋工程五大专业领域和战略规划、经济评价、智能化、新能源四大研究方向。</w:t>
      </w:r>
    </w:p>
    <w:p w14:paraId="02672E3B"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研究总院拥有员工1300余人，拥有2个全国重点实验室、2个国家级研发中心、5个集团公司重点实验室和1个博士后科研工作站，拥有中国工程院院士3名、国务院政府特殊津贴专家等国家级人才20余名。“十三五”以来，获得国家级科技奖励10项、省部级科技奖励268项。</w:t>
      </w:r>
    </w:p>
    <w:p w14:paraId="634572EB" w14:textId="5693E054" w:rsidR="00FF5F29" w:rsidRDefault="00C96966" w:rsidP="001B5A1D">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r w:rsidR="001B5A1D">
        <w:rPr>
          <w:rFonts w:ascii="微软雅黑" w:eastAsia="微软雅黑" w:hAnsi="微软雅黑" w:cs="宋体" w:hint="eastAsia"/>
          <w:color w:val="000000"/>
          <w:kern w:val="0"/>
          <w:sz w:val="24"/>
          <w:szCs w:val="24"/>
        </w:rPr>
        <w:t>、石油与天然气工程</w:t>
      </w:r>
    </w:p>
    <w:p w14:paraId="7A5680E7" w14:textId="77777777" w:rsidR="00FF5F29" w:rsidRDefault="00C96966">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457"/>
        <w:gridCol w:w="1167"/>
        <w:gridCol w:w="1288"/>
        <w:gridCol w:w="1435"/>
        <w:gridCol w:w="1392"/>
        <w:gridCol w:w="2013"/>
        <w:gridCol w:w="721"/>
      </w:tblGrid>
      <w:tr w:rsidR="00FF5F29" w14:paraId="497F21D5" w14:textId="77777777">
        <w:trPr>
          <w:tblHeader/>
          <w:jc w:val="center"/>
        </w:trPr>
        <w:tc>
          <w:tcPr>
            <w:tcW w:w="675" w:type="dxa"/>
            <w:vAlign w:val="center"/>
          </w:tcPr>
          <w:p w14:paraId="639C0E75" w14:textId="77777777" w:rsidR="00FF5F29" w:rsidRDefault="00C96966">
            <w:pPr>
              <w:jc w:val="center"/>
              <w:rPr>
                <w:b/>
              </w:rPr>
            </w:pPr>
            <w:r>
              <w:rPr>
                <w:rFonts w:hint="eastAsia"/>
                <w:b/>
              </w:rPr>
              <w:t>序号</w:t>
            </w:r>
          </w:p>
        </w:tc>
        <w:tc>
          <w:tcPr>
            <w:tcW w:w="1457" w:type="dxa"/>
          </w:tcPr>
          <w:p w14:paraId="74E3981C" w14:textId="77777777" w:rsidR="00FF5F29" w:rsidRDefault="00C96966">
            <w:pPr>
              <w:jc w:val="center"/>
              <w:rPr>
                <w:b/>
              </w:rPr>
            </w:pPr>
            <w:r>
              <w:br/>
            </w:r>
            <w:r>
              <w:rPr>
                <w:rFonts w:ascii="Source Han Sans CN Medium" w:hAnsi="Source Han Sans CN Medium"/>
                <w:b/>
                <w:bCs/>
                <w:color w:val="000000"/>
                <w:sz w:val="22"/>
              </w:rPr>
              <w:t>学院（研究院）</w:t>
            </w:r>
          </w:p>
        </w:tc>
        <w:tc>
          <w:tcPr>
            <w:tcW w:w="1167" w:type="dxa"/>
            <w:vAlign w:val="center"/>
          </w:tcPr>
          <w:p w14:paraId="5A4F62CE" w14:textId="77777777" w:rsidR="00FF5F29" w:rsidRDefault="00C96966">
            <w:pPr>
              <w:jc w:val="center"/>
              <w:rPr>
                <w:b/>
              </w:rPr>
            </w:pPr>
            <w:r>
              <w:rPr>
                <w:rFonts w:hint="eastAsia"/>
                <w:b/>
              </w:rPr>
              <w:t>专业领域</w:t>
            </w:r>
          </w:p>
        </w:tc>
        <w:tc>
          <w:tcPr>
            <w:tcW w:w="1288" w:type="dxa"/>
            <w:vAlign w:val="center"/>
          </w:tcPr>
          <w:p w14:paraId="328E63C2" w14:textId="77777777" w:rsidR="00FF5F29" w:rsidRDefault="00C96966">
            <w:pPr>
              <w:jc w:val="center"/>
              <w:rPr>
                <w:b/>
              </w:rPr>
            </w:pPr>
            <w:r>
              <w:rPr>
                <w:rFonts w:hint="eastAsia"/>
                <w:b/>
              </w:rPr>
              <w:t>研究方向</w:t>
            </w:r>
          </w:p>
        </w:tc>
        <w:tc>
          <w:tcPr>
            <w:tcW w:w="1435" w:type="dxa"/>
            <w:vAlign w:val="center"/>
          </w:tcPr>
          <w:p w14:paraId="1B95EB09" w14:textId="77777777" w:rsidR="00FF5F29" w:rsidRDefault="00C96966">
            <w:pPr>
              <w:jc w:val="center"/>
              <w:rPr>
                <w:b/>
              </w:rPr>
            </w:pPr>
            <w:r>
              <w:rPr>
                <w:rFonts w:hint="eastAsia"/>
                <w:b/>
              </w:rPr>
              <w:t>企业导师</w:t>
            </w:r>
          </w:p>
        </w:tc>
        <w:tc>
          <w:tcPr>
            <w:tcW w:w="1392" w:type="dxa"/>
            <w:vAlign w:val="center"/>
          </w:tcPr>
          <w:p w14:paraId="61667EC6" w14:textId="77777777" w:rsidR="00FF5F29" w:rsidRDefault="00C96966">
            <w:pPr>
              <w:jc w:val="center"/>
              <w:rPr>
                <w:b/>
              </w:rPr>
            </w:pPr>
            <w:r>
              <w:rPr>
                <w:rFonts w:hint="eastAsia"/>
                <w:b/>
              </w:rPr>
              <w:t>校内导师</w:t>
            </w:r>
          </w:p>
        </w:tc>
        <w:tc>
          <w:tcPr>
            <w:tcW w:w="2013" w:type="dxa"/>
            <w:vAlign w:val="center"/>
          </w:tcPr>
          <w:p w14:paraId="341A6F36" w14:textId="77777777" w:rsidR="00FF5F29" w:rsidRDefault="00C96966">
            <w:pPr>
              <w:jc w:val="center"/>
              <w:rPr>
                <w:b/>
              </w:rPr>
            </w:pPr>
            <w:r>
              <w:rPr>
                <w:rFonts w:hint="eastAsia"/>
                <w:b/>
              </w:rPr>
              <w:t>拟提供的</w:t>
            </w:r>
            <w:r>
              <w:rPr>
                <w:b/>
              </w:rPr>
              <w:t>专业实践课题（科研项目）</w:t>
            </w:r>
            <w:r>
              <w:rPr>
                <w:rFonts w:hint="eastAsia"/>
                <w:b/>
              </w:rPr>
              <w:t>名称</w:t>
            </w:r>
          </w:p>
        </w:tc>
        <w:tc>
          <w:tcPr>
            <w:tcW w:w="721" w:type="dxa"/>
            <w:vAlign w:val="center"/>
          </w:tcPr>
          <w:p w14:paraId="75293910" w14:textId="77777777" w:rsidR="00FF5F29" w:rsidRDefault="00C96966">
            <w:pPr>
              <w:jc w:val="center"/>
              <w:rPr>
                <w:b/>
              </w:rPr>
            </w:pPr>
            <w:r>
              <w:rPr>
                <w:rFonts w:hint="eastAsia"/>
                <w:b/>
              </w:rPr>
              <w:t>需求人数</w:t>
            </w:r>
          </w:p>
        </w:tc>
      </w:tr>
      <w:tr w:rsidR="009771D2" w:rsidRPr="00FF735E" w14:paraId="4940607D" w14:textId="77777777" w:rsidTr="001B5A1D">
        <w:trPr>
          <w:trHeight w:val="907"/>
          <w:jc w:val="center"/>
        </w:trPr>
        <w:tc>
          <w:tcPr>
            <w:tcW w:w="675" w:type="dxa"/>
            <w:vAlign w:val="center"/>
          </w:tcPr>
          <w:p w14:paraId="2D41CE82"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1</w:t>
            </w:r>
          </w:p>
        </w:tc>
        <w:tc>
          <w:tcPr>
            <w:tcW w:w="1457" w:type="dxa"/>
            <w:vAlign w:val="center"/>
          </w:tcPr>
          <w:p w14:paraId="509C1ACE"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67" w:type="dxa"/>
            <w:vAlign w:val="center"/>
          </w:tcPr>
          <w:p w14:paraId="0FBD38EA" w14:textId="4F8A0D0F"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hint="eastAsia"/>
                <w:color w:val="000000"/>
                <w:szCs w:val="21"/>
              </w:rPr>
              <w:t>石油与天然气工程</w:t>
            </w:r>
          </w:p>
        </w:tc>
        <w:tc>
          <w:tcPr>
            <w:tcW w:w="1288" w:type="dxa"/>
            <w:vAlign w:val="center"/>
          </w:tcPr>
          <w:p w14:paraId="693D27F2" w14:textId="3DD9CAD0"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海洋钻井工艺;深水水下井口;智能钻井</w:t>
            </w:r>
          </w:p>
        </w:tc>
        <w:tc>
          <w:tcPr>
            <w:tcW w:w="1435" w:type="dxa"/>
            <w:vAlign w:val="center"/>
          </w:tcPr>
          <w:p w14:paraId="6A325EEE" w14:textId="3759710B"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吴怡</w:t>
            </w:r>
          </w:p>
        </w:tc>
        <w:tc>
          <w:tcPr>
            <w:tcW w:w="1392" w:type="dxa"/>
            <w:vAlign w:val="center"/>
          </w:tcPr>
          <w:p w14:paraId="2970BF82" w14:textId="7BFB9D0D"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陈绪跃</w:t>
            </w:r>
          </w:p>
        </w:tc>
        <w:tc>
          <w:tcPr>
            <w:tcW w:w="2013" w:type="dxa"/>
            <w:vAlign w:val="center"/>
          </w:tcPr>
          <w:p w14:paraId="656F990B" w14:textId="336B2640" w:rsidR="009771D2" w:rsidRPr="00FF735E" w:rsidRDefault="009771D2" w:rsidP="009771D2">
            <w:pPr>
              <w:widowControl/>
              <w:jc w:val="center"/>
              <w:rPr>
                <w:rFonts w:ascii="宋体" w:eastAsia="宋体" w:hAnsi="宋体" w:cs="宋体"/>
                <w:szCs w:val="21"/>
              </w:rPr>
            </w:pPr>
            <w:r w:rsidRPr="00FF735E">
              <w:rPr>
                <w:rFonts w:ascii="宋体" w:eastAsia="宋体" w:hAnsi="宋体" w:cs="宋体" w:hint="eastAsia"/>
                <w:szCs w:val="21"/>
              </w:rPr>
              <w:t>宝岛21-1气田群中深层钻井提速技术研究</w:t>
            </w:r>
          </w:p>
        </w:tc>
        <w:tc>
          <w:tcPr>
            <w:tcW w:w="721" w:type="dxa"/>
            <w:vAlign w:val="center"/>
          </w:tcPr>
          <w:p w14:paraId="054F2B64"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1</w:t>
            </w:r>
          </w:p>
        </w:tc>
      </w:tr>
    </w:tbl>
    <w:p w14:paraId="26A44220" w14:textId="0B0F5A04" w:rsidR="00023127" w:rsidRPr="00023127" w:rsidRDefault="009771D2" w:rsidP="005C6D91">
      <w:pPr>
        <w:widowControl/>
        <w:numPr>
          <w:ilvl w:val="0"/>
          <w:numId w:val="2"/>
        </w:numPr>
        <w:spacing w:beforeLines="100" w:before="312"/>
        <w:jc w:val="left"/>
        <w:rPr>
          <w:rFonts w:ascii="微软雅黑" w:eastAsia="微软雅黑" w:hAnsi="微软雅黑" w:cs="宋体"/>
          <w:color w:val="000000" w:themeColor="text1"/>
          <w:kern w:val="0"/>
          <w:sz w:val="27"/>
          <w:szCs w:val="27"/>
        </w:rPr>
      </w:pPr>
      <w:r w:rsidRPr="009771D2">
        <w:rPr>
          <w:rFonts w:ascii="Source Han Sans CN Medium" w:eastAsia="微软雅黑" w:hAnsi="Source Han Sans CN Medium" w:cs="宋体" w:hint="eastAsia"/>
          <w:b/>
          <w:bCs/>
          <w:color w:val="000000" w:themeColor="text1"/>
          <w:kern w:val="0"/>
          <w:sz w:val="28"/>
          <w:szCs w:val="28"/>
        </w:rPr>
        <w:t>中国石油化工股份有限公司石油工程技术研究院</w:t>
      </w:r>
    </w:p>
    <w:p w14:paraId="67222539" w14:textId="10B90FEA" w:rsidR="00FF5F29" w:rsidRPr="00023127" w:rsidRDefault="00C96966" w:rsidP="00023127">
      <w:pPr>
        <w:widowControl/>
        <w:spacing w:beforeLines="100" w:before="312"/>
        <w:jc w:val="left"/>
        <w:rPr>
          <w:rFonts w:ascii="微软雅黑" w:eastAsia="微软雅黑" w:hAnsi="微软雅黑" w:cs="宋体"/>
          <w:color w:val="FF0000"/>
          <w:kern w:val="0"/>
          <w:sz w:val="27"/>
          <w:szCs w:val="27"/>
        </w:rPr>
      </w:pPr>
      <w:r w:rsidRPr="00023127">
        <w:rPr>
          <w:rFonts w:ascii="Source Han Sans CN Medium" w:eastAsia="微软雅黑" w:hAnsi="Source Han Sans CN Medium" w:cs="宋体"/>
          <w:b/>
          <w:bCs/>
          <w:color w:val="000000"/>
          <w:kern w:val="0"/>
          <w:sz w:val="24"/>
          <w:szCs w:val="24"/>
        </w:rPr>
        <w:t>（</w:t>
      </w:r>
      <w:r w:rsidRPr="00023127">
        <w:rPr>
          <w:rFonts w:ascii="Source Han Sans CN Medium" w:eastAsia="微软雅黑" w:hAnsi="Source Han Sans CN Medium" w:cs="宋体"/>
          <w:b/>
          <w:bCs/>
          <w:color w:val="000000"/>
          <w:kern w:val="0"/>
          <w:sz w:val="24"/>
          <w:szCs w:val="24"/>
        </w:rPr>
        <w:t>1</w:t>
      </w:r>
      <w:r w:rsidRPr="00023127">
        <w:rPr>
          <w:rFonts w:ascii="Source Han Sans CN Medium" w:eastAsia="微软雅黑" w:hAnsi="Source Han Sans CN Medium" w:cs="宋体"/>
          <w:b/>
          <w:bCs/>
          <w:color w:val="000000"/>
          <w:kern w:val="0"/>
          <w:sz w:val="24"/>
          <w:szCs w:val="24"/>
        </w:rPr>
        <w:t>）企业</w:t>
      </w:r>
      <w:r w:rsidRPr="00023127">
        <w:rPr>
          <w:rFonts w:ascii="Source Han Sans CN Medium" w:eastAsia="微软雅黑" w:hAnsi="Source Han Sans CN Medium" w:cs="宋体" w:hint="eastAsia"/>
          <w:b/>
          <w:bCs/>
          <w:color w:val="000000"/>
          <w:kern w:val="0"/>
          <w:sz w:val="24"/>
          <w:szCs w:val="24"/>
        </w:rPr>
        <w:t>简介</w:t>
      </w:r>
    </w:p>
    <w:p w14:paraId="146FB2E0"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lastRenderedPageBreak/>
        <w:t>中石化石油工程技术研究院有限公司（简称中国石化石油工程技术研究院）成立于2009年6月，位于北京市昌平区，是中国石化直属研究院，以保障国家能源安全、建设石油工程原创技术策源地、打造石油工程科技铁军为目标，致力于构建石油工程和新能源基础前瞻研究、技术产品研发、成果转化支持三级研发体系，为油田企业稳油增气、降本提效提供高质量科技支撑。</w:t>
      </w:r>
    </w:p>
    <w:p w14:paraId="1C2E082E"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围绕石油工程和新能源技术需求和发展方向，以井筒技术为主，从事油田化学、钻井工程、完井工程、测控装备、数智技术以及新能源技术领域发展规划、科技攻关及推广应用。设有博士后科研工作站，建有1个全国重点实验室、3个国家级研发中心、7个中国石化重点实验室，2个行业重点实验室，中沙石油能源“一带一路”联合实验室，主办中文核心期刊《石油钻探技术》。成立以来，先后承担并完成国家及省部级科技攻关项目700余项，培育发展了5项核心技术，3项品牌技术和系列特色技术及1套石油工程远程决策支持系统，取得重要科技成果100余项，获国家及省部级科技奖励219项，申请国家专利3000余项、国外发明专利92项，授权专利1500余项，授权国外发明专利30项，制定国家和行业标准138项。</w:t>
      </w:r>
    </w:p>
    <w:p w14:paraId="6C490637" w14:textId="3F394DEF" w:rsidR="00FF5F29" w:rsidRDefault="00C96966">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需求专业领域：石油与天然气工程</w:t>
      </w:r>
    </w:p>
    <w:p w14:paraId="4880528F" w14:textId="77777777" w:rsidR="00FF5F29" w:rsidRDefault="00C96966">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579"/>
        <w:gridCol w:w="1290"/>
        <w:gridCol w:w="1110"/>
        <w:gridCol w:w="2295"/>
        <w:gridCol w:w="721"/>
      </w:tblGrid>
      <w:tr w:rsidR="00FF5F29" w14:paraId="534F7992" w14:textId="77777777">
        <w:trPr>
          <w:tblHeader/>
          <w:jc w:val="center"/>
        </w:trPr>
        <w:tc>
          <w:tcPr>
            <w:tcW w:w="675" w:type="dxa"/>
            <w:vAlign w:val="center"/>
          </w:tcPr>
          <w:p w14:paraId="7DEC050C" w14:textId="77777777" w:rsidR="00FF5F29" w:rsidRDefault="00C96966">
            <w:pPr>
              <w:jc w:val="center"/>
              <w:rPr>
                <w:b/>
              </w:rPr>
            </w:pPr>
            <w:r>
              <w:rPr>
                <w:rFonts w:hint="eastAsia"/>
                <w:b/>
              </w:rPr>
              <w:t>序号</w:t>
            </w:r>
          </w:p>
        </w:tc>
        <w:tc>
          <w:tcPr>
            <w:tcW w:w="1374" w:type="dxa"/>
          </w:tcPr>
          <w:p w14:paraId="628A9A0A" w14:textId="77777777" w:rsidR="00FF5F29" w:rsidRDefault="00C96966">
            <w:pPr>
              <w:jc w:val="center"/>
              <w:rPr>
                <w:b/>
              </w:rPr>
            </w:pPr>
            <w:r>
              <w:br/>
            </w:r>
            <w:r>
              <w:rPr>
                <w:rFonts w:ascii="Source Han Sans CN Medium" w:hAnsi="Source Han Sans CN Medium"/>
                <w:b/>
                <w:bCs/>
                <w:color w:val="000000"/>
                <w:sz w:val="22"/>
              </w:rPr>
              <w:t>学院（研究院）</w:t>
            </w:r>
          </w:p>
        </w:tc>
        <w:tc>
          <w:tcPr>
            <w:tcW w:w="1104" w:type="dxa"/>
            <w:vAlign w:val="center"/>
          </w:tcPr>
          <w:p w14:paraId="7A44550F" w14:textId="77777777" w:rsidR="00FF5F29" w:rsidRDefault="00C96966">
            <w:pPr>
              <w:jc w:val="center"/>
              <w:rPr>
                <w:b/>
              </w:rPr>
            </w:pPr>
            <w:r>
              <w:rPr>
                <w:rFonts w:hint="eastAsia"/>
                <w:b/>
              </w:rPr>
              <w:t>专业领域</w:t>
            </w:r>
          </w:p>
        </w:tc>
        <w:tc>
          <w:tcPr>
            <w:tcW w:w="1579" w:type="dxa"/>
            <w:vAlign w:val="center"/>
          </w:tcPr>
          <w:p w14:paraId="2A802214" w14:textId="77777777" w:rsidR="00FF5F29" w:rsidRDefault="00C96966">
            <w:pPr>
              <w:jc w:val="center"/>
              <w:rPr>
                <w:b/>
              </w:rPr>
            </w:pPr>
            <w:r>
              <w:rPr>
                <w:rFonts w:hint="eastAsia"/>
                <w:b/>
              </w:rPr>
              <w:t>研究方向</w:t>
            </w:r>
          </w:p>
        </w:tc>
        <w:tc>
          <w:tcPr>
            <w:tcW w:w="1290" w:type="dxa"/>
            <w:vAlign w:val="center"/>
          </w:tcPr>
          <w:p w14:paraId="10A81609" w14:textId="77777777" w:rsidR="00FF5F29" w:rsidRDefault="00C96966">
            <w:pPr>
              <w:jc w:val="center"/>
              <w:rPr>
                <w:b/>
              </w:rPr>
            </w:pPr>
            <w:r>
              <w:rPr>
                <w:rFonts w:hint="eastAsia"/>
                <w:b/>
              </w:rPr>
              <w:t>企业导师</w:t>
            </w:r>
          </w:p>
        </w:tc>
        <w:tc>
          <w:tcPr>
            <w:tcW w:w="1110" w:type="dxa"/>
            <w:vAlign w:val="center"/>
          </w:tcPr>
          <w:p w14:paraId="1B6216A9" w14:textId="77777777" w:rsidR="00FF5F29" w:rsidRDefault="00C96966">
            <w:pPr>
              <w:jc w:val="center"/>
              <w:rPr>
                <w:b/>
              </w:rPr>
            </w:pPr>
            <w:r>
              <w:rPr>
                <w:rFonts w:hint="eastAsia"/>
                <w:b/>
              </w:rPr>
              <w:t>校内导师</w:t>
            </w:r>
          </w:p>
        </w:tc>
        <w:tc>
          <w:tcPr>
            <w:tcW w:w="2295" w:type="dxa"/>
            <w:vAlign w:val="center"/>
          </w:tcPr>
          <w:p w14:paraId="1D0C1E80" w14:textId="77777777" w:rsidR="00FF5F29" w:rsidRDefault="00C96966">
            <w:pPr>
              <w:jc w:val="center"/>
              <w:rPr>
                <w:b/>
              </w:rPr>
            </w:pPr>
            <w:r>
              <w:rPr>
                <w:rFonts w:hint="eastAsia"/>
                <w:b/>
              </w:rPr>
              <w:t>拟提供的</w:t>
            </w:r>
            <w:r>
              <w:rPr>
                <w:b/>
              </w:rPr>
              <w:t>专业实践课题（科研项目）</w:t>
            </w:r>
            <w:r>
              <w:rPr>
                <w:rFonts w:hint="eastAsia"/>
                <w:b/>
              </w:rPr>
              <w:t>名称</w:t>
            </w:r>
          </w:p>
        </w:tc>
        <w:tc>
          <w:tcPr>
            <w:tcW w:w="721" w:type="dxa"/>
            <w:vAlign w:val="center"/>
          </w:tcPr>
          <w:p w14:paraId="74FAC474" w14:textId="77777777" w:rsidR="00FF5F29" w:rsidRDefault="00C96966">
            <w:pPr>
              <w:jc w:val="center"/>
              <w:rPr>
                <w:b/>
              </w:rPr>
            </w:pPr>
            <w:r>
              <w:rPr>
                <w:rFonts w:hint="eastAsia"/>
                <w:b/>
              </w:rPr>
              <w:t>需求人数</w:t>
            </w:r>
          </w:p>
        </w:tc>
      </w:tr>
      <w:tr w:rsidR="00FF5F29" w14:paraId="04176FCC" w14:textId="77777777">
        <w:trPr>
          <w:trHeight w:val="907"/>
          <w:jc w:val="center"/>
        </w:trPr>
        <w:tc>
          <w:tcPr>
            <w:tcW w:w="675" w:type="dxa"/>
            <w:vAlign w:val="center"/>
          </w:tcPr>
          <w:p w14:paraId="2AF7B161" w14:textId="77777777" w:rsidR="00FF5F29" w:rsidRPr="00FF735E" w:rsidRDefault="00C96966">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7B5C99D2" w14:textId="77777777" w:rsidR="00FF5F29" w:rsidRPr="00FF735E" w:rsidRDefault="00C96966">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2A860759" w14:textId="77777777" w:rsidR="00FF5F29" w:rsidRPr="00FF735E" w:rsidRDefault="00C96966">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石油与天然气工程</w:t>
            </w:r>
          </w:p>
        </w:tc>
        <w:tc>
          <w:tcPr>
            <w:tcW w:w="1579" w:type="dxa"/>
            <w:vAlign w:val="center"/>
          </w:tcPr>
          <w:p w14:paraId="72D4B71F" w14:textId="48154597" w:rsidR="00FF5F29" w:rsidRPr="00FF735E" w:rsidRDefault="009771D2">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油气人工智能</w:t>
            </w:r>
          </w:p>
        </w:tc>
        <w:tc>
          <w:tcPr>
            <w:tcW w:w="1290" w:type="dxa"/>
            <w:vAlign w:val="center"/>
          </w:tcPr>
          <w:p w14:paraId="65821FA3" w14:textId="234F2784" w:rsidR="00FF5F29" w:rsidRPr="00FF735E" w:rsidRDefault="009771D2">
            <w:pPr>
              <w:widowControl/>
              <w:jc w:val="center"/>
              <w:textAlignment w:val="center"/>
              <w:rPr>
                <w:rFonts w:ascii="宋体" w:eastAsia="宋体" w:hAnsi="宋体" w:cs="等线"/>
                <w:color w:val="000000"/>
                <w:szCs w:val="21"/>
              </w:rPr>
            </w:pPr>
            <w:r w:rsidRPr="00FF735E">
              <w:rPr>
                <w:rFonts w:ascii="宋体" w:eastAsia="宋体" w:hAnsi="宋体" w:cs="等线" w:hint="eastAsia"/>
                <w:color w:val="000000"/>
                <w:kern w:val="0"/>
                <w:szCs w:val="21"/>
                <w:lang w:bidi="ar"/>
              </w:rPr>
              <w:t>张嘉作</w:t>
            </w:r>
          </w:p>
        </w:tc>
        <w:tc>
          <w:tcPr>
            <w:tcW w:w="1110" w:type="dxa"/>
            <w:vAlign w:val="center"/>
          </w:tcPr>
          <w:p w14:paraId="4C04A853" w14:textId="42EB4B74" w:rsidR="00FF5F29" w:rsidRPr="00FF735E" w:rsidRDefault="009771D2">
            <w:pPr>
              <w:widowControl/>
              <w:jc w:val="center"/>
              <w:textAlignment w:val="center"/>
              <w:rPr>
                <w:rFonts w:ascii="宋体" w:eastAsia="宋体" w:hAnsi="宋体" w:cs="等线"/>
                <w:color w:val="000000"/>
                <w:szCs w:val="21"/>
              </w:rPr>
            </w:pPr>
            <w:r w:rsidRPr="00FF735E">
              <w:rPr>
                <w:rFonts w:ascii="宋体" w:eastAsia="宋体" w:hAnsi="宋体" w:cs="等线" w:hint="eastAsia"/>
                <w:color w:val="000000"/>
                <w:kern w:val="0"/>
                <w:szCs w:val="21"/>
                <w:lang w:bidi="ar"/>
              </w:rPr>
              <w:t>陈绪跃</w:t>
            </w:r>
          </w:p>
        </w:tc>
        <w:tc>
          <w:tcPr>
            <w:tcW w:w="2295" w:type="dxa"/>
            <w:vAlign w:val="center"/>
          </w:tcPr>
          <w:p w14:paraId="69BA5882" w14:textId="2636AD98" w:rsidR="00FF5F29" w:rsidRPr="00FF735E" w:rsidRDefault="001C7E3C">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基于无监督学习和区域地质约束的随钻岩性智能预测方法</w:t>
            </w:r>
          </w:p>
        </w:tc>
        <w:tc>
          <w:tcPr>
            <w:tcW w:w="721" w:type="dxa"/>
            <w:vAlign w:val="center"/>
          </w:tcPr>
          <w:p w14:paraId="2CE263B2" w14:textId="77777777" w:rsidR="00FF5F29" w:rsidRPr="00FF735E" w:rsidRDefault="00C96966">
            <w:pPr>
              <w:jc w:val="center"/>
              <w:rPr>
                <w:rFonts w:ascii="宋体" w:eastAsia="宋体" w:hAnsi="宋体" w:cs="宋体"/>
                <w:szCs w:val="21"/>
              </w:rPr>
            </w:pPr>
            <w:r w:rsidRPr="00FF735E">
              <w:rPr>
                <w:rFonts w:ascii="宋体" w:eastAsia="宋体" w:hAnsi="宋体" w:cs="宋体" w:hint="eastAsia"/>
                <w:szCs w:val="21"/>
              </w:rPr>
              <w:t>1</w:t>
            </w:r>
          </w:p>
        </w:tc>
      </w:tr>
    </w:tbl>
    <w:p w14:paraId="4B4DEF1E" w14:textId="77777777" w:rsidR="001C7E3C" w:rsidRDefault="001C7E3C" w:rsidP="001C7E3C">
      <w:pPr>
        <w:widowControl/>
        <w:numPr>
          <w:ilvl w:val="0"/>
          <w:numId w:val="2"/>
        </w:numPr>
        <w:spacing w:beforeLines="100" w:before="312"/>
        <w:jc w:val="left"/>
        <w:rPr>
          <w:rFonts w:ascii="微软雅黑" w:eastAsia="微软雅黑" w:hAnsi="微软雅黑" w:cs="宋体"/>
          <w:color w:val="FF0000"/>
          <w:kern w:val="0"/>
          <w:sz w:val="27"/>
          <w:szCs w:val="27"/>
        </w:rPr>
      </w:pPr>
      <w:r w:rsidRPr="001C7E3C">
        <w:rPr>
          <w:rFonts w:ascii="Source Han Sans CN Medium" w:eastAsia="微软雅黑" w:hAnsi="Source Han Sans CN Medium" w:cs="宋体" w:hint="eastAsia"/>
          <w:b/>
          <w:bCs/>
          <w:color w:val="000000" w:themeColor="text1"/>
          <w:kern w:val="0"/>
          <w:sz w:val="28"/>
          <w:szCs w:val="28"/>
        </w:rPr>
        <w:t>中国石油集团工程技术研究院有限公司</w:t>
      </w:r>
    </w:p>
    <w:p w14:paraId="2BB6951B" w14:textId="23E2B531" w:rsidR="001C7E3C" w:rsidRPr="001C7E3C" w:rsidRDefault="001C7E3C" w:rsidP="001C7E3C">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lastRenderedPageBreak/>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）企业</w:t>
      </w:r>
      <w:r w:rsidRPr="001C7E3C">
        <w:rPr>
          <w:rFonts w:ascii="Source Han Sans CN Medium" w:eastAsia="微软雅黑" w:hAnsi="Source Han Sans CN Medium" w:cs="宋体" w:hint="eastAsia"/>
          <w:b/>
          <w:bCs/>
          <w:color w:val="000000"/>
          <w:kern w:val="0"/>
          <w:sz w:val="24"/>
          <w:szCs w:val="24"/>
        </w:rPr>
        <w:t>简介</w:t>
      </w:r>
    </w:p>
    <w:p w14:paraId="4BE26C09"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中国石油集团工程技术研究院有限公司是中国石油天然气集团有限公司直属科研机构、全资子公司，发展定位为：中国石油集团公司油气工程技术参谋部，油气工程基础前沿及高新技术研发中心，油气工程高端技术支持与服务中心，油气工程高端科技人才引进培养平台，油气工程高新技术产业化平台。主要从事井筒工程的基础和前沿技术、尖端工具和仪器、入井流体的研发和推广，开展国内外重点工程技术支持与服务。</w:t>
      </w:r>
    </w:p>
    <w:p w14:paraId="485761FF"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现有10个研究机构、1个北美地区的休斯敦研究中心、1个国际业务部、1个实验中心、3家法人单位、5个项目部。中国工程院院士2人，享受国务院特殊津贴15人，“百千万人才工程”人选3人，正高级职称50人，高级职称455人。</w:t>
      </w:r>
    </w:p>
    <w:p w14:paraId="5B574D79"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拥有油气钻井国家工程研究中心、中国石油钻井工程重点实验室和试验基地，美国休斯敦非常规工程技术实验室，湖北省石油天然气连续管工程技术研究中心，具备27大类实（试）验、测试与评价能力。具有国家油气田井口设备质检中心、石油工业设备监理甲级资质、特种作业车生产资质等资质。</w:t>
      </w:r>
    </w:p>
    <w:p w14:paraId="3F4412FE"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工程技术研究院研发形成了以深井超深井钻井、水平井钻井、页岩气钻完井、煤层气钻完井、储气(油)库建设工程、钻井测量、完井压裂和非常规油气藏评价等9大成套技术体系、40余项特色技术。获得国家奖3项；省部级奖励111项，中国石油十大科技进展11项，授权发明专利308件、国际专利27件，制修定国家标准32项，行业标准78项，集团企业标准59项，登记软件著作权106项。</w:t>
      </w:r>
    </w:p>
    <w:p w14:paraId="2C4BA96A" w14:textId="77777777" w:rsidR="001C7E3C" w:rsidRDefault="001C7E3C" w:rsidP="001C7E3C">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需求专业领域：石油与天然气工程</w:t>
      </w:r>
    </w:p>
    <w:p w14:paraId="6DAF1E92" w14:textId="77777777" w:rsidR="001C7E3C" w:rsidRDefault="001C7E3C" w:rsidP="001C7E3C">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lastRenderedPageBreak/>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1C7E3C" w14:paraId="61686EE5" w14:textId="77777777" w:rsidTr="008438B4">
        <w:trPr>
          <w:tblHeader/>
          <w:jc w:val="center"/>
        </w:trPr>
        <w:tc>
          <w:tcPr>
            <w:tcW w:w="675" w:type="dxa"/>
            <w:vAlign w:val="center"/>
          </w:tcPr>
          <w:p w14:paraId="7234C9C9" w14:textId="77777777" w:rsidR="001C7E3C" w:rsidRDefault="001C7E3C" w:rsidP="00FF1CE8">
            <w:pPr>
              <w:jc w:val="center"/>
              <w:rPr>
                <w:b/>
              </w:rPr>
            </w:pPr>
            <w:r>
              <w:rPr>
                <w:rFonts w:hint="eastAsia"/>
                <w:b/>
              </w:rPr>
              <w:t>序号</w:t>
            </w:r>
          </w:p>
        </w:tc>
        <w:tc>
          <w:tcPr>
            <w:tcW w:w="1374" w:type="dxa"/>
          </w:tcPr>
          <w:p w14:paraId="6E2E22DF" w14:textId="77777777" w:rsidR="001C7E3C" w:rsidRDefault="001C7E3C"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7AFCB2C7" w14:textId="77777777" w:rsidR="001C7E3C" w:rsidRDefault="001C7E3C" w:rsidP="00FF1CE8">
            <w:pPr>
              <w:jc w:val="center"/>
              <w:rPr>
                <w:b/>
              </w:rPr>
            </w:pPr>
            <w:r>
              <w:rPr>
                <w:rFonts w:hint="eastAsia"/>
                <w:b/>
              </w:rPr>
              <w:t>专业领域</w:t>
            </w:r>
          </w:p>
        </w:tc>
        <w:tc>
          <w:tcPr>
            <w:tcW w:w="1662" w:type="dxa"/>
            <w:vAlign w:val="center"/>
          </w:tcPr>
          <w:p w14:paraId="4B63808B" w14:textId="77777777" w:rsidR="001C7E3C" w:rsidRDefault="001C7E3C" w:rsidP="00FF1CE8">
            <w:pPr>
              <w:jc w:val="center"/>
              <w:rPr>
                <w:b/>
              </w:rPr>
            </w:pPr>
            <w:r>
              <w:rPr>
                <w:rFonts w:hint="eastAsia"/>
                <w:b/>
              </w:rPr>
              <w:t>研究方向</w:t>
            </w:r>
          </w:p>
        </w:tc>
        <w:tc>
          <w:tcPr>
            <w:tcW w:w="1207" w:type="dxa"/>
            <w:vAlign w:val="center"/>
          </w:tcPr>
          <w:p w14:paraId="43471EE6" w14:textId="77777777" w:rsidR="001C7E3C" w:rsidRDefault="001C7E3C" w:rsidP="00FF1CE8">
            <w:pPr>
              <w:jc w:val="center"/>
              <w:rPr>
                <w:b/>
              </w:rPr>
            </w:pPr>
            <w:r>
              <w:rPr>
                <w:rFonts w:hint="eastAsia"/>
                <w:b/>
              </w:rPr>
              <w:t>企业导师</w:t>
            </w:r>
          </w:p>
        </w:tc>
        <w:tc>
          <w:tcPr>
            <w:tcW w:w="1110" w:type="dxa"/>
            <w:vAlign w:val="center"/>
          </w:tcPr>
          <w:p w14:paraId="1A79458F" w14:textId="77777777" w:rsidR="001C7E3C" w:rsidRDefault="001C7E3C" w:rsidP="00FF1CE8">
            <w:pPr>
              <w:jc w:val="center"/>
              <w:rPr>
                <w:b/>
              </w:rPr>
            </w:pPr>
            <w:r>
              <w:rPr>
                <w:rFonts w:hint="eastAsia"/>
                <w:b/>
              </w:rPr>
              <w:t>校内导师</w:t>
            </w:r>
          </w:p>
        </w:tc>
        <w:tc>
          <w:tcPr>
            <w:tcW w:w="2295" w:type="dxa"/>
            <w:vAlign w:val="center"/>
          </w:tcPr>
          <w:p w14:paraId="396E36EC" w14:textId="77777777" w:rsidR="001C7E3C" w:rsidRDefault="001C7E3C"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543DC982" w14:textId="77777777" w:rsidR="001C7E3C" w:rsidRDefault="001C7E3C" w:rsidP="00FF1CE8">
            <w:pPr>
              <w:jc w:val="center"/>
              <w:rPr>
                <w:b/>
              </w:rPr>
            </w:pPr>
            <w:r>
              <w:rPr>
                <w:rFonts w:hint="eastAsia"/>
                <w:b/>
              </w:rPr>
              <w:t>需求人数</w:t>
            </w:r>
          </w:p>
        </w:tc>
      </w:tr>
      <w:tr w:rsidR="008438B4" w14:paraId="2BE5824F" w14:textId="77777777" w:rsidTr="008438B4">
        <w:trPr>
          <w:trHeight w:val="907"/>
          <w:jc w:val="center"/>
        </w:trPr>
        <w:tc>
          <w:tcPr>
            <w:tcW w:w="675" w:type="dxa"/>
            <w:vAlign w:val="center"/>
          </w:tcPr>
          <w:p w14:paraId="00BC7A4B" w14:textId="2A327C9F" w:rsidR="008438B4" w:rsidRPr="00FF735E" w:rsidRDefault="00990879" w:rsidP="008438B4">
            <w:pPr>
              <w:widowControl/>
              <w:jc w:val="center"/>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1</w:t>
            </w:r>
          </w:p>
        </w:tc>
        <w:tc>
          <w:tcPr>
            <w:tcW w:w="1374" w:type="dxa"/>
            <w:vAlign w:val="center"/>
          </w:tcPr>
          <w:p w14:paraId="59AC3203" w14:textId="59BFA013"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3E0781B8" w14:textId="276CCC26"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石油与天然气工程</w:t>
            </w:r>
          </w:p>
        </w:tc>
        <w:tc>
          <w:tcPr>
            <w:tcW w:w="1662" w:type="dxa"/>
            <w:vAlign w:val="center"/>
          </w:tcPr>
          <w:p w14:paraId="410852F9" w14:textId="08A1D18C"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等线" w:eastAsia="等线" w:hAnsi="等线" w:hint="eastAsia"/>
                <w:sz w:val="22"/>
              </w:rPr>
              <w:t>钻井</w:t>
            </w:r>
          </w:p>
        </w:tc>
        <w:tc>
          <w:tcPr>
            <w:tcW w:w="1207" w:type="dxa"/>
            <w:vAlign w:val="center"/>
          </w:tcPr>
          <w:p w14:paraId="77640035" w14:textId="4D834857"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班凡生</w:t>
            </w:r>
          </w:p>
        </w:tc>
        <w:tc>
          <w:tcPr>
            <w:tcW w:w="1110" w:type="dxa"/>
            <w:vAlign w:val="center"/>
          </w:tcPr>
          <w:p w14:paraId="5268E4B8" w14:textId="2F99BDC6"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王琳琳</w:t>
            </w:r>
          </w:p>
        </w:tc>
        <w:tc>
          <w:tcPr>
            <w:tcW w:w="2295" w:type="dxa"/>
            <w:vAlign w:val="center"/>
          </w:tcPr>
          <w:p w14:paraId="1D1B3D3D" w14:textId="285A7E20"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油气藏与薄盐层储库井筒治理及快速建库方法研究</w:t>
            </w:r>
          </w:p>
        </w:tc>
        <w:tc>
          <w:tcPr>
            <w:tcW w:w="721" w:type="dxa"/>
            <w:vAlign w:val="center"/>
          </w:tcPr>
          <w:p w14:paraId="39091132" w14:textId="2D4216E4"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bl>
    <w:p w14:paraId="277B1A9D" w14:textId="53F46055" w:rsidR="008438B4" w:rsidRDefault="008438B4" w:rsidP="008438B4">
      <w:pPr>
        <w:widowControl/>
        <w:numPr>
          <w:ilvl w:val="0"/>
          <w:numId w:val="2"/>
        </w:numPr>
        <w:spacing w:beforeLines="100" w:before="312"/>
        <w:jc w:val="left"/>
        <w:rPr>
          <w:rFonts w:ascii="微软雅黑" w:eastAsia="微软雅黑" w:hAnsi="微软雅黑" w:cs="宋体"/>
          <w:color w:val="FF0000"/>
          <w:kern w:val="0"/>
          <w:sz w:val="27"/>
          <w:szCs w:val="27"/>
        </w:rPr>
      </w:pPr>
      <w:r w:rsidRPr="008438B4">
        <w:rPr>
          <w:rFonts w:ascii="Source Han Sans CN Medium" w:eastAsia="微软雅黑" w:hAnsi="Source Han Sans CN Medium" w:cs="宋体" w:hint="eastAsia"/>
          <w:b/>
          <w:bCs/>
          <w:color w:val="000000" w:themeColor="text1"/>
          <w:kern w:val="0"/>
          <w:sz w:val="28"/>
          <w:szCs w:val="28"/>
        </w:rPr>
        <w:t>中国石油集团海洋工程有限公司</w:t>
      </w:r>
    </w:p>
    <w:p w14:paraId="38B8D3B3" w14:textId="77777777" w:rsidR="008438B4" w:rsidRPr="001C7E3C" w:rsidRDefault="008438B4" w:rsidP="008438B4">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）企业</w:t>
      </w:r>
      <w:r w:rsidRPr="001C7E3C">
        <w:rPr>
          <w:rFonts w:ascii="Source Han Sans CN Medium" w:eastAsia="微软雅黑" w:hAnsi="Source Han Sans CN Medium" w:cs="宋体" w:hint="eastAsia"/>
          <w:b/>
          <w:bCs/>
          <w:color w:val="000000"/>
          <w:kern w:val="0"/>
          <w:sz w:val="24"/>
          <w:szCs w:val="24"/>
        </w:rPr>
        <w:t>简介</w:t>
      </w:r>
    </w:p>
    <w:p w14:paraId="605666A8" w14:textId="77777777" w:rsidR="008438B4" w:rsidRDefault="008438B4" w:rsidP="008438B4">
      <w:pPr>
        <w:widowControl/>
        <w:ind w:firstLineChars="200" w:firstLine="480"/>
        <w:jc w:val="left"/>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中国石油集团海洋工程有限公司是中国石油天然气集团公司为加快海洋油气资源勘探开发步伐，于2004年组建的海上石油工程技术服务公司，主要提供海洋油气及新能源工程技术服务，部分陆上油气田和新能源开发工程技术服务，以及油田化学品研发销售和服务。拥有海洋石油专业设计甲级，海洋石油工程专业承包一级，钻井工程设计甲级，防腐保温工程专业承包一级，测绘甲级，石油天然气工程咨询甲级，港口经营许可证，新能源发电设计乙级，压力管道和压力容器设计等专业资质，建有4个集团公司重点实验室和研究室。拥有深水钻完井与可燃冰试采综合配套技术等10大特色技术，60多项成果获得国家或省部级科技进步奖，累计获得专利210余项，具备120米水深海洋油气勘探开发综合服务保障能力和1500米深水钻井能力，打造了海域天然气水合物试采、西气东输二线深港海管、亚马尔模块建造等精品工程。</w:t>
      </w:r>
    </w:p>
    <w:p w14:paraId="60F9D8A1" w14:textId="167CC676" w:rsidR="008438B4" w:rsidRDefault="008438B4" w:rsidP="008438B4">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r>
        <w:rPr>
          <w:rFonts w:ascii="微软雅黑" w:eastAsia="微软雅黑" w:hAnsi="微软雅黑" w:cs="宋体" w:hint="eastAsia"/>
          <w:color w:val="000000"/>
          <w:kern w:val="0"/>
          <w:sz w:val="24"/>
          <w:szCs w:val="24"/>
        </w:rPr>
        <w:t>、石油与天然气工程</w:t>
      </w:r>
    </w:p>
    <w:p w14:paraId="6BF88E59" w14:textId="77777777" w:rsidR="008438B4" w:rsidRDefault="008438B4" w:rsidP="008438B4">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A1D34" w14:paraId="2A08C17F" w14:textId="77777777" w:rsidTr="00FF1CE8">
        <w:trPr>
          <w:tblHeader/>
          <w:jc w:val="center"/>
        </w:trPr>
        <w:tc>
          <w:tcPr>
            <w:tcW w:w="675" w:type="dxa"/>
            <w:vAlign w:val="center"/>
          </w:tcPr>
          <w:p w14:paraId="3979E1D2" w14:textId="77777777" w:rsidR="008438B4" w:rsidRDefault="008438B4" w:rsidP="00FF1CE8">
            <w:pPr>
              <w:jc w:val="center"/>
              <w:rPr>
                <w:b/>
              </w:rPr>
            </w:pPr>
            <w:r>
              <w:rPr>
                <w:rFonts w:hint="eastAsia"/>
                <w:b/>
              </w:rPr>
              <w:lastRenderedPageBreak/>
              <w:t>序号</w:t>
            </w:r>
          </w:p>
        </w:tc>
        <w:tc>
          <w:tcPr>
            <w:tcW w:w="1374" w:type="dxa"/>
          </w:tcPr>
          <w:p w14:paraId="13D907F0" w14:textId="77777777" w:rsidR="008438B4" w:rsidRDefault="008438B4"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08124314" w14:textId="77777777" w:rsidR="008438B4" w:rsidRDefault="008438B4" w:rsidP="00FF1CE8">
            <w:pPr>
              <w:jc w:val="center"/>
              <w:rPr>
                <w:b/>
              </w:rPr>
            </w:pPr>
            <w:r>
              <w:rPr>
                <w:rFonts w:hint="eastAsia"/>
                <w:b/>
              </w:rPr>
              <w:t>专业领域</w:t>
            </w:r>
          </w:p>
        </w:tc>
        <w:tc>
          <w:tcPr>
            <w:tcW w:w="1662" w:type="dxa"/>
            <w:vAlign w:val="center"/>
          </w:tcPr>
          <w:p w14:paraId="3FA41548" w14:textId="77777777" w:rsidR="008438B4" w:rsidRDefault="008438B4" w:rsidP="00FF1CE8">
            <w:pPr>
              <w:jc w:val="center"/>
              <w:rPr>
                <w:b/>
              </w:rPr>
            </w:pPr>
            <w:r>
              <w:rPr>
                <w:rFonts w:hint="eastAsia"/>
                <w:b/>
              </w:rPr>
              <w:t>研究方向</w:t>
            </w:r>
          </w:p>
        </w:tc>
        <w:tc>
          <w:tcPr>
            <w:tcW w:w="1207" w:type="dxa"/>
            <w:vAlign w:val="center"/>
          </w:tcPr>
          <w:p w14:paraId="14D13BC8" w14:textId="77777777" w:rsidR="008438B4" w:rsidRDefault="008438B4" w:rsidP="00FF1CE8">
            <w:pPr>
              <w:jc w:val="center"/>
              <w:rPr>
                <w:b/>
              </w:rPr>
            </w:pPr>
            <w:r>
              <w:rPr>
                <w:rFonts w:hint="eastAsia"/>
                <w:b/>
              </w:rPr>
              <w:t>企业导师</w:t>
            </w:r>
          </w:p>
        </w:tc>
        <w:tc>
          <w:tcPr>
            <w:tcW w:w="1110" w:type="dxa"/>
            <w:vAlign w:val="center"/>
          </w:tcPr>
          <w:p w14:paraId="39EF2C37" w14:textId="77777777" w:rsidR="008438B4" w:rsidRDefault="008438B4" w:rsidP="00FF1CE8">
            <w:pPr>
              <w:jc w:val="center"/>
              <w:rPr>
                <w:b/>
              </w:rPr>
            </w:pPr>
            <w:r>
              <w:rPr>
                <w:rFonts w:hint="eastAsia"/>
                <w:b/>
              </w:rPr>
              <w:t>校内导师</w:t>
            </w:r>
          </w:p>
        </w:tc>
        <w:tc>
          <w:tcPr>
            <w:tcW w:w="2295" w:type="dxa"/>
            <w:vAlign w:val="center"/>
          </w:tcPr>
          <w:p w14:paraId="27801B8A" w14:textId="77777777" w:rsidR="008438B4" w:rsidRDefault="008438B4"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78AD43A3" w14:textId="77777777" w:rsidR="008438B4" w:rsidRDefault="008438B4" w:rsidP="00FF1CE8">
            <w:pPr>
              <w:jc w:val="center"/>
              <w:rPr>
                <w:b/>
              </w:rPr>
            </w:pPr>
            <w:r>
              <w:rPr>
                <w:rFonts w:hint="eastAsia"/>
                <w:b/>
              </w:rPr>
              <w:t>需求人数</w:t>
            </w:r>
          </w:p>
        </w:tc>
      </w:tr>
      <w:tr w:rsidR="00CA1D34" w14:paraId="34B40EC5" w14:textId="77777777" w:rsidTr="00FF5493">
        <w:trPr>
          <w:trHeight w:val="907"/>
          <w:jc w:val="center"/>
        </w:trPr>
        <w:tc>
          <w:tcPr>
            <w:tcW w:w="675" w:type="dxa"/>
            <w:vAlign w:val="center"/>
          </w:tcPr>
          <w:p w14:paraId="2EAD7080" w14:textId="68982470" w:rsidR="00CA1D34" w:rsidRPr="00FF735E" w:rsidRDefault="00990879" w:rsidP="00CA1D34">
            <w:pPr>
              <w:widowControl/>
              <w:jc w:val="center"/>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1</w:t>
            </w:r>
          </w:p>
        </w:tc>
        <w:tc>
          <w:tcPr>
            <w:tcW w:w="1374" w:type="dxa"/>
            <w:vAlign w:val="center"/>
          </w:tcPr>
          <w:p w14:paraId="4EC1A695" w14:textId="7E0E2105"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tcPr>
          <w:p w14:paraId="762071ED" w14:textId="2E38A60B"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石油与天然气工程</w:t>
            </w:r>
          </w:p>
        </w:tc>
        <w:tc>
          <w:tcPr>
            <w:tcW w:w="1662" w:type="dxa"/>
            <w:vAlign w:val="center"/>
          </w:tcPr>
          <w:p w14:paraId="55BF7C18" w14:textId="0342BFEE"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钻井</w:t>
            </w:r>
          </w:p>
        </w:tc>
        <w:tc>
          <w:tcPr>
            <w:tcW w:w="1207" w:type="dxa"/>
            <w:vAlign w:val="center"/>
          </w:tcPr>
          <w:p w14:paraId="2E088D3F" w14:textId="320060C4"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张用德</w:t>
            </w:r>
          </w:p>
        </w:tc>
        <w:tc>
          <w:tcPr>
            <w:tcW w:w="1110" w:type="dxa"/>
            <w:vAlign w:val="center"/>
          </w:tcPr>
          <w:p w14:paraId="191F6C47" w14:textId="719F7F2F"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王琳琳</w:t>
            </w:r>
          </w:p>
        </w:tc>
        <w:tc>
          <w:tcPr>
            <w:tcW w:w="2295" w:type="dxa"/>
            <w:vAlign w:val="center"/>
          </w:tcPr>
          <w:p w14:paraId="658990B8" w14:textId="00DE44AC"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海上CCS钻完井关键技术研究</w:t>
            </w:r>
          </w:p>
        </w:tc>
        <w:tc>
          <w:tcPr>
            <w:tcW w:w="721" w:type="dxa"/>
            <w:vAlign w:val="center"/>
          </w:tcPr>
          <w:p w14:paraId="6981D422" w14:textId="69FD245E"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bl>
    <w:p w14:paraId="37767E70" w14:textId="77777777" w:rsidR="008438B4" w:rsidRDefault="008438B4" w:rsidP="008438B4">
      <w:pPr>
        <w:widowControl/>
        <w:spacing w:beforeLines="100" w:before="312"/>
        <w:jc w:val="left"/>
      </w:pPr>
    </w:p>
    <w:p w14:paraId="57DD647B" w14:textId="77777777" w:rsidR="008438B4" w:rsidRDefault="008438B4" w:rsidP="008438B4">
      <w:pPr>
        <w:widowControl/>
        <w:spacing w:beforeLines="100" w:before="312"/>
        <w:jc w:val="left"/>
      </w:pPr>
    </w:p>
    <w:p w14:paraId="63649BB2" w14:textId="77777777" w:rsidR="008438B4" w:rsidRDefault="008438B4" w:rsidP="008438B4">
      <w:pPr>
        <w:widowControl/>
        <w:spacing w:beforeLines="100" w:before="312"/>
        <w:jc w:val="left"/>
      </w:pPr>
    </w:p>
    <w:p w14:paraId="25B5F3C7" w14:textId="77777777" w:rsidR="008438B4" w:rsidRDefault="008438B4" w:rsidP="008438B4">
      <w:pPr>
        <w:widowControl/>
        <w:spacing w:beforeLines="100" w:before="312"/>
        <w:jc w:val="left"/>
      </w:pPr>
    </w:p>
    <w:p w14:paraId="6460FC74" w14:textId="77777777" w:rsidR="008438B4" w:rsidRDefault="008438B4" w:rsidP="008438B4">
      <w:pPr>
        <w:widowControl/>
        <w:spacing w:beforeLines="100" w:before="312"/>
        <w:jc w:val="left"/>
      </w:pPr>
    </w:p>
    <w:p w14:paraId="77C1D550" w14:textId="77777777" w:rsidR="008438B4" w:rsidRDefault="008438B4" w:rsidP="008438B4">
      <w:pPr>
        <w:widowControl/>
        <w:spacing w:beforeLines="100" w:before="312"/>
        <w:jc w:val="left"/>
      </w:pPr>
    </w:p>
    <w:p w14:paraId="4A1F1D54" w14:textId="77777777" w:rsidR="001C7E3C" w:rsidRDefault="001C7E3C" w:rsidP="001C7E3C">
      <w:pPr>
        <w:widowControl/>
        <w:spacing w:beforeLines="100" w:before="312"/>
        <w:jc w:val="left"/>
      </w:pPr>
    </w:p>
    <w:p w14:paraId="6DEA6E18" w14:textId="77777777" w:rsidR="00FF5F29" w:rsidRDefault="00FF5F29" w:rsidP="00023127">
      <w:pPr>
        <w:widowControl/>
        <w:spacing w:beforeLines="100" w:before="312"/>
        <w:jc w:val="left"/>
      </w:pPr>
    </w:p>
    <w:sectPr w:rsidR="00FF5F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3387" w14:textId="77777777" w:rsidR="009B3E0D" w:rsidRDefault="009B3E0D" w:rsidP="001B5A1D">
      <w:r>
        <w:separator/>
      </w:r>
    </w:p>
  </w:endnote>
  <w:endnote w:type="continuationSeparator" w:id="0">
    <w:p w14:paraId="57D30D6D" w14:textId="77777777" w:rsidR="009B3E0D" w:rsidRDefault="009B3E0D" w:rsidP="001B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Han Sans CN Medium">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26A9" w14:textId="77777777" w:rsidR="009B3E0D" w:rsidRDefault="009B3E0D" w:rsidP="001B5A1D">
      <w:r>
        <w:separator/>
      </w:r>
    </w:p>
  </w:footnote>
  <w:footnote w:type="continuationSeparator" w:id="0">
    <w:p w14:paraId="3893F308" w14:textId="77777777" w:rsidR="009B3E0D" w:rsidRDefault="009B3E0D" w:rsidP="001B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E47CB"/>
    <w:multiLevelType w:val="singleLevel"/>
    <w:tmpl w:val="CD40A6C0"/>
    <w:lvl w:ilvl="0">
      <w:start w:val="2"/>
      <w:numFmt w:val="decimal"/>
      <w:lvlText w:val="%1."/>
      <w:lvlJc w:val="left"/>
      <w:pPr>
        <w:tabs>
          <w:tab w:val="left" w:pos="312"/>
        </w:tabs>
      </w:pPr>
      <w:rPr>
        <w:color w:val="auto"/>
      </w:rPr>
    </w:lvl>
  </w:abstractNum>
  <w:abstractNum w:abstractNumId="1" w15:restartNumberingAfterBreak="0">
    <w:nsid w:val="D74C0D2B"/>
    <w:multiLevelType w:val="singleLevel"/>
    <w:tmpl w:val="D74C0D2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kOTNkOTk2YzA1ZGNiYWI0NDA1N2M4NWU4Y2NjMmYifQ=="/>
  </w:docVars>
  <w:rsids>
    <w:rsidRoot w:val="00FD03F4"/>
    <w:rsid w:val="00010837"/>
    <w:rsid w:val="00023127"/>
    <w:rsid w:val="000877A2"/>
    <w:rsid w:val="000B3F63"/>
    <w:rsid w:val="000D2196"/>
    <w:rsid w:val="000D490C"/>
    <w:rsid w:val="00165170"/>
    <w:rsid w:val="0017450A"/>
    <w:rsid w:val="00180DDA"/>
    <w:rsid w:val="001B5A1D"/>
    <w:rsid w:val="001C7E3C"/>
    <w:rsid w:val="001E5E6E"/>
    <w:rsid w:val="00200C69"/>
    <w:rsid w:val="00234864"/>
    <w:rsid w:val="00276623"/>
    <w:rsid w:val="00285DBF"/>
    <w:rsid w:val="002A0F74"/>
    <w:rsid w:val="003E3B93"/>
    <w:rsid w:val="003E7B59"/>
    <w:rsid w:val="004F4000"/>
    <w:rsid w:val="00516E9B"/>
    <w:rsid w:val="00525BAF"/>
    <w:rsid w:val="00545CA9"/>
    <w:rsid w:val="005F18FB"/>
    <w:rsid w:val="00711034"/>
    <w:rsid w:val="0073747C"/>
    <w:rsid w:val="00743847"/>
    <w:rsid w:val="00750831"/>
    <w:rsid w:val="00777151"/>
    <w:rsid w:val="007A1D65"/>
    <w:rsid w:val="007D3014"/>
    <w:rsid w:val="00822160"/>
    <w:rsid w:val="008438B4"/>
    <w:rsid w:val="0086128D"/>
    <w:rsid w:val="00897D74"/>
    <w:rsid w:val="008E6913"/>
    <w:rsid w:val="009012B9"/>
    <w:rsid w:val="00927763"/>
    <w:rsid w:val="00953840"/>
    <w:rsid w:val="009771D2"/>
    <w:rsid w:val="00990879"/>
    <w:rsid w:val="00993A0E"/>
    <w:rsid w:val="009951AD"/>
    <w:rsid w:val="009B3E0D"/>
    <w:rsid w:val="009F3AB6"/>
    <w:rsid w:val="00A63C10"/>
    <w:rsid w:val="00A8489E"/>
    <w:rsid w:val="00AE7A40"/>
    <w:rsid w:val="00B22E44"/>
    <w:rsid w:val="00BA150B"/>
    <w:rsid w:val="00BB5D28"/>
    <w:rsid w:val="00BF1567"/>
    <w:rsid w:val="00C00F34"/>
    <w:rsid w:val="00C0158A"/>
    <w:rsid w:val="00C46CFF"/>
    <w:rsid w:val="00C84442"/>
    <w:rsid w:val="00C96966"/>
    <w:rsid w:val="00CA1D34"/>
    <w:rsid w:val="00CE5E6B"/>
    <w:rsid w:val="00D12E6E"/>
    <w:rsid w:val="00D84E0E"/>
    <w:rsid w:val="00DD667F"/>
    <w:rsid w:val="00E10C7F"/>
    <w:rsid w:val="00E12DDC"/>
    <w:rsid w:val="00EA5E5F"/>
    <w:rsid w:val="00EB419B"/>
    <w:rsid w:val="00F548F7"/>
    <w:rsid w:val="00F61BE3"/>
    <w:rsid w:val="00F64A5B"/>
    <w:rsid w:val="00F719CF"/>
    <w:rsid w:val="00FC7F87"/>
    <w:rsid w:val="00FD03F4"/>
    <w:rsid w:val="00FD60CA"/>
    <w:rsid w:val="00FE31B6"/>
    <w:rsid w:val="00FF5F29"/>
    <w:rsid w:val="00FF735E"/>
    <w:rsid w:val="06C26405"/>
    <w:rsid w:val="43D52173"/>
    <w:rsid w:val="570B0540"/>
    <w:rsid w:val="6D4D1AB9"/>
    <w:rsid w:val="7D4F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55595"/>
  <w15:docId w15:val="{9E3C5BC5-032A-4008-A3F6-07BB43F7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wspan">
    <w:name w:val="awspan"/>
    <w:basedOn w:val="a0"/>
    <w:qFormat/>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3096">
      <w:bodyDiv w:val="1"/>
      <w:marLeft w:val="0"/>
      <w:marRight w:val="0"/>
      <w:marTop w:val="0"/>
      <w:marBottom w:val="0"/>
      <w:divBdr>
        <w:top w:val="none" w:sz="0" w:space="0" w:color="auto"/>
        <w:left w:val="none" w:sz="0" w:space="0" w:color="auto"/>
        <w:bottom w:val="none" w:sz="0" w:space="0" w:color="auto"/>
        <w:right w:val="none" w:sz="0" w:space="0" w:color="auto"/>
      </w:divBdr>
    </w:div>
    <w:div w:id="661741180">
      <w:bodyDiv w:val="1"/>
      <w:marLeft w:val="0"/>
      <w:marRight w:val="0"/>
      <w:marTop w:val="0"/>
      <w:marBottom w:val="0"/>
      <w:divBdr>
        <w:top w:val="none" w:sz="0" w:space="0" w:color="auto"/>
        <w:left w:val="none" w:sz="0" w:space="0" w:color="auto"/>
        <w:bottom w:val="none" w:sz="0" w:space="0" w:color="auto"/>
        <w:right w:val="none" w:sz="0" w:space="0" w:color="auto"/>
      </w:divBdr>
    </w:div>
    <w:div w:id="936979692">
      <w:bodyDiv w:val="1"/>
      <w:marLeft w:val="0"/>
      <w:marRight w:val="0"/>
      <w:marTop w:val="0"/>
      <w:marBottom w:val="0"/>
      <w:divBdr>
        <w:top w:val="none" w:sz="0" w:space="0" w:color="auto"/>
        <w:left w:val="none" w:sz="0" w:space="0" w:color="auto"/>
        <w:bottom w:val="none" w:sz="0" w:space="0" w:color="auto"/>
        <w:right w:val="none" w:sz="0" w:space="0" w:color="auto"/>
      </w:divBdr>
    </w:div>
    <w:div w:id="1068110849">
      <w:bodyDiv w:val="1"/>
      <w:marLeft w:val="0"/>
      <w:marRight w:val="0"/>
      <w:marTop w:val="0"/>
      <w:marBottom w:val="0"/>
      <w:divBdr>
        <w:top w:val="none" w:sz="0" w:space="0" w:color="auto"/>
        <w:left w:val="none" w:sz="0" w:space="0" w:color="auto"/>
        <w:bottom w:val="none" w:sz="0" w:space="0" w:color="auto"/>
        <w:right w:val="none" w:sz="0" w:space="0" w:color="auto"/>
      </w:divBdr>
    </w:div>
    <w:div w:id="1128012529">
      <w:bodyDiv w:val="1"/>
      <w:marLeft w:val="0"/>
      <w:marRight w:val="0"/>
      <w:marTop w:val="0"/>
      <w:marBottom w:val="0"/>
      <w:divBdr>
        <w:top w:val="none" w:sz="0" w:space="0" w:color="auto"/>
        <w:left w:val="none" w:sz="0" w:space="0" w:color="auto"/>
        <w:bottom w:val="none" w:sz="0" w:space="0" w:color="auto"/>
        <w:right w:val="none" w:sz="0" w:space="0" w:color="auto"/>
      </w:divBdr>
    </w:div>
    <w:div w:id="1234926772">
      <w:bodyDiv w:val="1"/>
      <w:marLeft w:val="0"/>
      <w:marRight w:val="0"/>
      <w:marTop w:val="0"/>
      <w:marBottom w:val="0"/>
      <w:divBdr>
        <w:top w:val="none" w:sz="0" w:space="0" w:color="auto"/>
        <w:left w:val="none" w:sz="0" w:space="0" w:color="auto"/>
        <w:bottom w:val="none" w:sz="0" w:space="0" w:color="auto"/>
        <w:right w:val="none" w:sz="0" w:space="0" w:color="auto"/>
      </w:divBdr>
    </w:div>
    <w:div w:id="1615484134">
      <w:bodyDiv w:val="1"/>
      <w:marLeft w:val="0"/>
      <w:marRight w:val="0"/>
      <w:marTop w:val="0"/>
      <w:marBottom w:val="0"/>
      <w:divBdr>
        <w:top w:val="none" w:sz="0" w:space="0" w:color="auto"/>
        <w:left w:val="none" w:sz="0" w:space="0" w:color="auto"/>
        <w:bottom w:val="none" w:sz="0" w:space="0" w:color="auto"/>
        <w:right w:val="none" w:sz="0" w:space="0" w:color="auto"/>
      </w:divBdr>
    </w:div>
    <w:div w:id="184728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A45C-1D8D-4603-B0BD-4FE1878C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cupb</dc:creator>
  <cp:lastModifiedBy>tongxin</cp:lastModifiedBy>
  <cp:revision>28</cp:revision>
  <dcterms:created xsi:type="dcterms:W3CDTF">2022-03-06T15:07:00Z</dcterms:created>
  <dcterms:modified xsi:type="dcterms:W3CDTF">2025-04-02T06:47:00Z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BD873E1ADDAE4BCFA399D8F6E80704D1</vt:lpwstr>
  </property>
</Properties>
</file>