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81" w:rsidRDefault="00E531E2">
      <w:pPr>
        <w:pBdr>
          <w:bottom w:val="single" w:sz="12" w:space="1" w:color="FF0000"/>
        </w:pBdr>
        <w:spacing w:line="760" w:lineRule="exact"/>
        <w:jc w:val="center"/>
        <w:rPr>
          <w:rFonts w:ascii="黑体" w:eastAsia="黑体" w:hAnsi="黑体"/>
          <w:b/>
          <w:bCs/>
          <w:color w:val="FF0000"/>
          <w:sz w:val="44"/>
          <w:szCs w:val="44"/>
        </w:rPr>
      </w:pPr>
      <w:r>
        <w:rPr>
          <w:rFonts w:ascii="黑体" w:eastAsia="黑体" w:hAnsi="黑体" w:hint="eastAsia"/>
          <w:b/>
          <w:bCs/>
          <w:color w:val="FF0000"/>
          <w:sz w:val="44"/>
          <w:szCs w:val="44"/>
        </w:rPr>
        <w:t>中国石油大学（北京）</w:t>
      </w:r>
    </w:p>
    <w:p w:rsidR="009F0A81" w:rsidRDefault="00E531E2">
      <w:pPr>
        <w:pBdr>
          <w:bottom w:val="single" w:sz="12" w:space="1" w:color="FF0000"/>
        </w:pBdr>
        <w:spacing w:line="760" w:lineRule="exact"/>
        <w:jc w:val="center"/>
        <w:rPr>
          <w:rFonts w:ascii="方正小标宋简体" w:eastAsia="方正小标宋简体"/>
          <w:b/>
          <w:bCs/>
          <w:color w:val="FF0000"/>
          <w:sz w:val="52"/>
          <w:szCs w:val="52"/>
        </w:rPr>
      </w:pPr>
      <w:r>
        <w:rPr>
          <w:rFonts w:ascii="方正小标宋简体" w:eastAsia="方正小标宋简体" w:hint="eastAsia"/>
          <w:b/>
          <w:bCs/>
          <w:color w:val="FF0000"/>
          <w:sz w:val="52"/>
          <w:szCs w:val="52"/>
        </w:rPr>
        <w:t>安全与海洋工程学院文件</w:t>
      </w:r>
    </w:p>
    <w:p w:rsidR="00E531E2" w:rsidRPr="00E531E2" w:rsidRDefault="00E531E2" w:rsidP="00E531E2">
      <w:pPr>
        <w:pBdr>
          <w:bottom w:val="single" w:sz="12" w:space="1" w:color="FF0000"/>
        </w:pBdr>
        <w:spacing w:line="280" w:lineRule="atLeast"/>
        <w:jc w:val="center"/>
        <w:rPr>
          <w:rFonts w:hint="eastAsia"/>
          <w:b/>
          <w:bCs/>
          <w:sz w:val="36"/>
          <w:szCs w:val="36"/>
        </w:rPr>
      </w:pPr>
      <w:proofErr w:type="gramStart"/>
      <w:r>
        <w:rPr>
          <w:rFonts w:ascii="华文仿宋" w:eastAsia="华文仿宋" w:hAnsi="华文仿宋" w:hint="eastAsia"/>
          <w:color w:val="000000"/>
          <w:sz w:val="28"/>
        </w:rPr>
        <w:t>研</w:t>
      </w:r>
      <w:proofErr w:type="gramEnd"/>
      <w:r>
        <w:rPr>
          <w:rFonts w:ascii="华文仿宋" w:eastAsia="华文仿宋" w:hAnsi="华文仿宋" w:hint="eastAsia"/>
          <w:color w:val="000000"/>
          <w:sz w:val="28"/>
        </w:rPr>
        <w:t>〔</w:t>
      </w:r>
      <w:r>
        <w:rPr>
          <w:rFonts w:ascii="华文仿宋" w:eastAsia="华文仿宋" w:hAnsi="华文仿宋" w:hint="eastAsia"/>
          <w:color w:val="000000"/>
          <w:sz w:val="28"/>
        </w:rPr>
        <w:t>20</w:t>
      </w:r>
      <w:r>
        <w:rPr>
          <w:rFonts w:ascii="华文仿宋" w:eastAsia="华文仿宋" w:hAnsi="华文仿宋"/>
          <w:color w:val="000000"/>
          <w:sz w:val="28"/>
        </w:rPr>
        <w:t>2</w:t>
      </w:r>
      <w:r>
        <w:rPr>
          <w:rFonts w:ascii="华文仿宋" w:eastAsia="华文仿宋" w:hAnsi="华文仿宋" w:hint="eastAsia"/>
          <w:color w:val="000000"/>
          <w:sz w:val="28"/>
        </w:rPr>
        <w:t>2</w:t>
      </w:r>
      <w:r>
        <w:rPr>
          <w:rFonts w:ascii="华文仿宋" w:eastAsia="华文仿宋" w:hAnsi="华文仿宋" w:hint="eastAsia"/>
          <w:color w:val="000000"/>
          <w:sz w:val="28"/>
        </w:rPr>
        <w:t>〕8</w:t>
      </w:r>
      <w:r>
        <w:rPr>
          <w:rFonts w:ascii="华文仿宋" w:eastAsia="华文仿宋" w:hAnsi="华文仿宋" w:hint="eastAsia"/>
          <w:color w:val="000000"/>
          <w:sz w:val="28"/>
        </w:rPr>
        <w:t>号</w:t>
      </w:r>
    </w:p>
    <w:p w:rsidR="00E531E2" w:rsidRDefault="00E531E2" w:rsidP="00E531E2">
      <w:pPr>
        <w:adjustRightInd w:val="0"/>
        <w:snapToGrid w:val="0"/>
        <w:spacing w:beforeLines="100" w:before="312" w:afterLines="50" w:after="156" w:line="560" w:lineRule="exact"/>
        <w:ind w:firstLineChars="200" w:firstLine="640"/>
        <w:jc w:val="center"/>
        <w:rPr>
          <w:rFonts w:ascii="黑体" w:eastAsia="黑体" w:hAnsi="黑体" w:cs="Calibri" w:hint="eastAsia"/>
          <w:color w:val="000000"/>
          <w:sz w:val="32"/>
          <w:szCs w:val="32"/>
          <w:shd w:val="clear" w:color="auto" w:fill="FFFFFF"/>
        </w:rPr>
      </w:pPr>
      <w:r w:rsidRPr="00E531E2">
        <w:rPr>
          <w:rFonts w:ascii="黑体" w:eastAsia="黑体" w:hAnsi="黑体" w:cs="Calibri" w:hint="eastAsia"/>
          <w:color w:val="000000"/>
          <w:sz w:val="32"/>
          <w:szCs w:val="32"/>
          <w:shd w:val="clear" w:color="auto" w:fill="FFFFFF"/>
        </w:rPr>
        <w:t>安全与海洋工程学院博士生中期考核细则</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为进一步规范博士研究生（以下简称博士生）培养过程，保障培养质量，根据《教育部办公厅关于进一步规范和加强研究生培养管理的通知》（教研厅〔2019〕1号）和《中国石油大学（北京）博士研究生中期考核实施办法》（中石大京</w:t>
      </w:r>
      <w:proofErr w:type="gramStart"/>
      <w:r w:rsidRPr="00E531E2">
        <w:rPr>
          <w:rFonts w:ascii="仿宋" w:eastAsia="仿宋" w:hAnsi="仿宋" w:hint="eastAsia"/>
          <w:sz w:val="28"/>
          <w:szCs w:val="28"/>
        </w:rPr>
        <w:t>研</w:t>
      </w:r>
      <w:proofErr w:type="gramEnd"/>
      <w:r w:rsidRPr="00E531E2">
        <w:rPr>
          <w:rFonts w:ascii="仿宋" w:eastAsia="仿宋" w:hAnsi="仿宋" w:hint="eastAsia"/>
          <w:sz w:val="28"/>
          <w:szCs w:val="28"/>
        </w:rPr>
        <w:t>〔2020〕8号）等文件要求，结合学院实际，特制定本办法。自2020级开始，通过中期考核是博士毕业的必要条件。</w:t>
      </w:r>
    </w:p>
    <w:p w:rsidR="00E531E2" w:rsidRPr="00E531E2" w:rsidRDefault="00E531E2" w:rsidP="00E531E2">
      <w:pPr>
        <w:ind w:firstLineChars="200" w:firstLine="560"/>
        <w:rPr>
          <w:rFonts w:ascii="仿宋" w:eastAsia="仿宋" w:hAnsi="仿宋"/>
          <w:sz w:val="28"/>
          <w:szCs w:val="28"/>
        </w:rPr>
      </w:pPr>
      <w:proofErr w:type="gramStart"/>
      <w:r w:rsidRPr="00E531E2">
        <w:rPr>
          <w:rFonts w:ascii="仿宋" w:eastAsia="仿宋" w:hAnsi="仿宋" w:hint="eastAsia"/>
          <w:sz w:val="28"/>
          <w:szCs w:val="28"/>
        </w:rPr>
        <w:t>一</w:t>
      </w:r>
      <w:proofErr w:type="gramEnd"/>
      <w:r w:rsidRPr="00E531E2">
        <w:rPr>
          <w:rFonts w:ascii="仿宋" w:eastAsia="仿宋" w:hAnsi="仿宋" w:hint="eastAsia"/>
          <w:sz w:val="28"/>
          <w:szCs w:val="28"/>
        </w:rPr>
        <w:t>．中期考核内容</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1．中期考核是博士生培养的必要环节，旨在对博士生思想品德和学术能力进行综合评估，督促博士生认真投入学习和科学研究，顺利完成学业，同时对不适宜继续培养的博士研究生进行分流。</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中期考核分思想品德考核和论文研究进展考核。思想品德重点考核博士生学业、学术、品行等诚信表现；论文研究进展重点考核博士生开题后课题研究计划完成情况，并对博士生开展论文课题后续研究所需的理论基础和科研能力进行评估。</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二．中期考核要求</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 xml:space="preserve">1．博士生需在博士学位论文开题时，针对研究内容规划合理研究进度时间节点和中期考核时间节点，一同在论文时间安排表中列出。申请中期考核的时间应安排在开题后 9-18 </w:t>
      </w:r>
      <w:proofErr w:type="gramStart"/>
      <w:r w:rsidRPr="00E531E2">
        <w:rPr>
          <w:rFonts w:ascii="仿宋" w:eastAsia="仿宋" w:hAnsi="仿宋" w:hint="eastAsia"/>
          <w:sz w:val="28"/>
          <w:szCs w:val="28"/>
        </w:rPr>
        <w:t>个</w:t>
      </w:r>
      <w:proofErr w:type="gramEnd"/>
      <w:r w:rsidRPr="00E531E2">
        <w:rPr>
          <w:rFonts w:ascii="仿宋" w:eastAsia="仿宋" w:hAnsi="仿宋" w:hint="eastAsia"/>
          <w:sz w:val="28"/>
          <w:szCs w:val="28"/>
        </w:rPr>
        <w:t>月内。申请“首次考核”，须在个人开题申请中预设的中期考核日期前提出考核申请，逾期未提出首次考核申请视为首次中期考核不合格，</w:t>
      </w:r>
      <w:r w:rsidRPr="00E531E2">
        <w:rPr>
          <w:rFonts w:ascii="仿宋" w:eastAsia="仿宋" w:hAnsi="仿宋" w:hint="eastAsia"/>
          <w:sz w:val="28"/>
          <w:szCs w:val="28"/>
        </w:rPr>
        <w:lastRenderedPageBreak/>
        <w:t>需提交“二次考核” 申请。</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博士生需按期在研究生信息管理系统里提交中期考核申请，认真详细地针对思想品行、学位论文研究进展及中期计划目标任务完成情况、下一步研究计划安排等进行总结与自我评估，由导师通过系统对研究生思想品德和科研诚信、学位论文中期进展情况以及学术素养等方面进行评价，并对是否同意申请中期考核给出具体意见。</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三．中期考核组织</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学院每年统一组织两次中期考核，分别在 6 月和 12 月。具体流程为学院在网站发布中期考核通知，由各系成立中期考核小组，为开题后9-18个月内在系统上申请中期考核的博士生安排中期考核。</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1．考核小组成员名单须经学院学位</w:t>
      </w:r>
      <w:proofErr w:type="gramStart"/>
      <w:r w:rsidRPr="00E531E2">
        <w:rPr>
          <w:rFonts w:ascii="仿宋" w:eastAsia="仿宋" w:hAnsi="仿宋" w:hint="eastAsia"/>
          <w:sz w:val="28"/>
          <w:szCs w:val="28"/>
        </w:rPr>
        <w:t>评定分</w:t>
      </w:r>
      <w:proofErr w:type="gramEnd"/>
      <w:r w:rsidRPr="00E531E2">
        <w:rPr>
          <w:rFonts w:ascii="仿宋" w:eastAsia="仿宋" w:hAnsi="仿宋" w:hint="eastAsia"/>
          <w:sz w:val="28"/>
          <w:szCs w:val="28"/>
        </w:rPr>
        <w:t>委员会批准。由不少于 5 名博士生导师组成，其中学院学位</w:t>
      </w:r>
      <w:proofErr w:type="gramStart"/>
      <w:r w:rsidRPr="00E531E2">
        <w:rPr>
          <w:rFonts w:ascii="仿宋" w:eastAsia="仿宋" w:hAnsi="仿宋" w:hint="eastAsia"/>
          <w:sz w:val="28"/>
          <w:szCs w:val="28"/>
        </w:rPr>
        <w:t>评定分</w:t>
      </w:r>
      <w:proofErr w:type="gramEnd"/>
      <w:r w:rsidRPr="00E531E2">
        <w:rPr>
          <w:rFonts w:ascii="仿宋" w:eastAsia="仿宋" w:hAnsi="仿宋" w:hint="eastAsia"/>
          <w:sz w:val="28"/>
          <w:szCs w:val="28"/>
        </w:rPr>
        <w:t>委员会委员不少于 2 人，设组长 1 人。小组秘书须由获得博士学位的相关专业教师担任。</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2．中期考核程序与要求如下：</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（1）中期考核组长介绍各位专家，宣布考核程序。</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（2）博士研究生针对思想品行、学位论文研究进展及中期计划目标任务完成情况、 下一步研究计划安排等进行总结汇报，汇报时间为 15 分钟。</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（3）专家查阅论文开题报告和中期考核报告的同时向博士生提问、回答时间为 5 分钟。</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（4）博士研究生与列席人员暂时回避。考核专家们通过听取博士生</w:t>
      </w:r>
      <w:proofErr w:type="gramStart"/>
      <w:r w:rsidRPr="00E531E2">
        <w:rPr>
          <w:rFonts w:ascii="仿宋" w:eastAsia="仿宋" w:hAnsi="仿宋" w:hint="eastAsia"/>
          <w:sz w:val="28"/>
          <w:szCs w:val="28"/>
        </w:rPr>
        <w:t>答辩汇报</w:t>
      </w:r>
      <w:proofErr w:type="gramEnd"/>
      <w:r w:rsidRPr="00E531E2">
        <w:rPr>
          <w:rFonts w:ascii="仿宋" w:eastAsia="仿宋" w:hAnsi="仿宋" w:hint="eastAsia"/>
          <w:sz w:val="28"/>
          <w:szCs w:val="28"/>
        </w:rPr>
        <w:t>和博士生指导教师意见、查阅论文开题报告和中期考核报告、质询回答等环节，撰写中期考核意见，并进行无记名投票表决。通过票超过 2/3（含）以上者通过中期考核，否则中期考核不合格。</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（5）博士研究生与列席人员复会，考核小组组长向参加会议的全体人员宣读</w:t>
      </w:r>
      <w:r w:rsidRPr="00E531E2">
        <w:rPr>
          <w:rFonts w:ascii="仿宋" w:eastAsia="仿宋" w:hAnsi="仿宋" w:hint="eastAsia"/>
          <w:sz w:val="28"/>
          <w:szCs w:val="28"/>
        </w:rPr>
        <w:lastRenderedPageBreak/>
        <w:t>考核小组针对学生学业、学术、品行等诚信表现和开题后课题研究计划完成情况、后续研究所需的理论基础和科研能力等方面的评价意见。</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（6）考核结果经公示无异议后，报研究生院审查备案。</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3．有下列情况之一的，进行二次考核：</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（1）导师对博士生中期考核申请签署“不同意”意见；</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（2）首次中期考核结果为不合格。</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进入二次考核环节的博士生，须</w:t>
      </w:r>
      <w:proofErr w:type="gramStart"/>
      <w:r w:rsidRPr="00E531E2">
        <w:rPr>
          <w:rFonts w:ascii="仿宋" w:eastAsia="仿宋" w:hAnsi="仿宋" w:hint="eastAsia"/>
          <w:sz w:val="28"/>
          <w:szCs w:val="28"/>
        </w:rPr>
        <w:t>于首次</w:t>
      </w:r>
      <w:proofErr w:type="gramEnd"/>
      <w:r w:rsidRPr="00E531E2">
        <w:rPr>
          <w:rFonts w:ascii="仿宋" w:eastAsia="仿宋" w:hAnsi="仿宋" w:hint="eastAsia"/>
          <w:sz w:val="28"/>
          <w:szCs w:val="28"/>
        </w:rPr>
        <w:t>中期考核时间（逾期未申请的，</w:t>
      </w:r>
      <w:proofErr w:type="gramStart"/>
      <w:r w:rsidRPr="00E531E2">
        <w:rPr>
          <w:rFonts w:ascii="仿宋" w:eastAsia="仿宋" w:hAnsi="仿宋" w:hint="eastAsia"/>
          <w:sz w:val="28"/>
          <w:szCs w:val="28"/>
        </w:rPr>
        <w:t>按首次</w:t>
      </w:r>
      <w:proofErr w:type="gramEnd"/>
      <w:r w:rsidRPr="00E531E2">
        <w:rPr>
          <w:rFonts w:ascii="仿宋" w:eastAsia="仿宋" w:hAnsi="仿宋" w:hint="eastAsia"/>
          <w:sz w:val="28"/>
          <w:szCs w:val="28"/>
        </w:rPr>
        <w:t xml:space="preserve">申请期限时间）后 6 </w:t>
      </w:r>
      <w:proofErr w:type="gramStart"/>
      <w:r w:rsidRPr="00E531E2">
        <w:rPr>
          <w:rFonts w:ascii="仿宋" w:eastAsia="仿宋" w:hAnsi="仿宋" w:hint="eastAsia"/>
          <w:sz w:val="28"/>
          <w:szCs w:val="28"/>
        </w:rPr>
        <w:t>个</w:t>
      </w:r>
      <w:proofErr w:type="gramEnd"/>
      <w:r w:rsidRPr="00E531E2">
        <w:rPr>
          <w:rFonts w:ascii="仿宋" w:eastAsia="仿宋" w:hAnsi="仿宋" w:hint="eastAsia"/>
          <w:sz w:val="28"/>
          <w:szCs w:val="28"/>
        </w:rPr>
        <w:t>月内进行第二次中期考核申请，经导师、学院同意后，按规定进行中期考核和无记名投票，通过票超过 2/3（含）以上者通过中期考核，否则中期考核不通过。</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未在规定时间内申请第二次中期考核的，视为中期考核不通过。</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博士生在规定的期限内未能完成中期考核所要求的论文计划任务，导师或学院不同意博士生申请第二次中期考核的，视为中期考核不通过。</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四．中期考核结果</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1．中期考核通过的博士生，可根据中期考核意见调整论文研究计划并开展后续研究；</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2．对中期考核不通过者作如下处理：</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（1）对认定不宜继续按博士研究生标准培养，满足博士生转为硕士生培养条件的，按照《中国石油大学（北京）博士研究生转为硕士研究生培养管理办法》办理。</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（2）对认定不宜继续按博士研究生标准培养，且不满足博士生转为硕士生培养条件的，或认定明显缺乏科研能力、不宜继续培养的，按照《中国石油大学（北京）研究生学籍管理办法》，给予退学处理。</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3．博士生对中期考核结果有异议的，可以依照以下程序提出申诉，若博士生</w:t>
      </w:r>
      <w:r w:rsidRPr="00E531E2">
        <w:rPr>
          <w:rFonts w:ascii="仿宋" w:eastAsia="仿宋" w:hAnsi="仿宋" w:hint="eastAsia"/>
          <w:sz w:val="28"/>
          <w:szCs w:val="28"/>
        </w:rPr>
        <w:lastRenderedPageBreak/>
        <w:t>在申诉受理有效期内未提出申诉，学院和学校将不再受理。</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（1）在中期考核结果公布后三个工作日之内向所在学院提出书面申诉。学院接到博士生申诉后，由院学位</w:t>
      </w:r>
      <w:proofErr w:type="gramStart"/>
      <w:r w:rsidRPr="00E531E2">
        <w:rPr>
          <w:rFonts w:ascii="仿宋" w:eastAsia="仿宋" w:hAnsi="仿宋" w:hint="eastAsia"/>
          <w:sz w:val="28"/>
          <w:szCs w:val="28"/>
        </w:rPr>
        <w:t>评定分</w:t>
      </w:r>
      <w:proofErr w:type="gramEnd"/>
      <w:r w:rsidRPr="00E531E2">
        <w:rPr>
          <w:rFonts w:ascii="仿宋" w:eastAsia="仿宋" w:hAnsi="仿宋" w:hint="eastAsia"/>
          <w:sz w:val="28"/>
          <w:szCs w:val="28"/>
        </w:rPr>
        <w:t>委员会组织复查给出结论，自接受申诉之日起七个工作日内做出复议决定并告知申诉人。</w:t>
      </w:r>
    </w:p>
    <w:p w:rsidR="00E531E2" w:rsidRPr="00E531E2" w:rsidRDefault="00E531E2" w:rsidP="00E531E2">
      <w:pPr>
        <w:ind w:firstLineChars="200" w:firstLine="560"/>
        <w:rPr>
          <w:rFonts w:ascii="仿宋" w:eastAsia="仿宋" w:hAnsi="仿宋"/>
          <w:sz w:val="28"/>
          <w:szCs w:val="28"/>
        </w:rPr>
      </w:pPr>
      <w:r w:rsidRPr="00E531E2">
        <w:rPr>
          <w:rFonts w:ascii="仿宋" w:eastAsia="仿宋" w:hAnsi="仿宋" w:hint="eastAsia"/>
          <w:sz w:val="28"/>
          <w:szCs w:val="28"/>
        </w:rPr>
        <w:t>（2）博士生对学院的复议决定有异议的，可在七个工作日内向研究生院提出书面申诉及相关材料。研究生院组织相关学科专家进行复查，经校学位委员会审议，给予答复。</w:t>
      </w:r>
    </w:p>
    <w:p w:rsidR="00E531E2" w:rsidRPr="00E531E2" w:rsidRDefault="00E531E2" w:rsidP="00E531E2">
      <w:pPr>
        <w:ind w:firstLineChars="200" w:firstLine="560"/>
        <w:jc w:val="right"/>
        <w:rPr>
          <w:rFonts w:ascii="仿宋" w:eastAsia="仿宋" w:hAnsi="仿宋"/>
          <w:sz w:val="28"/>
          <w:szCs w:val="28"/>
        </w:rPr>
      </w:pPr>
      <w:r w:rsidRPr="00E531E2">
        <w:rPr>
          <w:rFonts w:ascii="仿宋" w:eastAsia="仿宋" w:hAnsi="仿宋" w:hint="eastAsia"/>
          <w:sz w:val="28"/>
          <w:szCs w:val="28"/>
        </w:rPr>
        <w:t>安全与海洋工程学院</w:t>
      </w:r>
    </w:p>
    <w:p w:rsidR="00E531E2" w:rsidRPr="00E531E2" w:rsidRDefault="00E531E2" w:rsidP="00E531E2">
      <w:pPr>
        <w:ind w:firstLineChars="200" w:firstLine="560"/>
        <w:jc w:val="right"/>
        <w:rPr>
          <w:rFonts w:ascii="仿宋" w:eastAsia="仿宋" w:hAnsi="仿宋"/>
          <w:sz w:val="28"/>
          <w:szCs w:val="28"/>
        </w:rPr>
      </w:pPr>
      <w:r w:rsidRPr="00E531E2">
        <w:rPr>
          <w:rFonts w:ascii="仿宋" w:eastAsia="仿宋" w:hAnsi="仿宋"/>
          <w:sz w:val="28"/>
          <w:szCs w:val="28"/>
        </w:rPr>
        <w:t>2022.</w:t>
      </w:r>
      <w:r w:rsidRPr="00E531E2">
        <w:rPr>
          <w:rFonts w:ascii="仿宋" w:eastAsia="仿宋" w:hAnsi="仿宋" w:hint="eastAsia"/>
          <w:sz w:val="28"/>
          <w:szCs w:val="28"/>
        </w:rPr>
        <w:t>12</w:t>
      </w:r>
      <w:r w:rsidRPr="00E531E2">
        <w:rPr>
          <w:rFonts w:ascii="仿宋" w:eastAsia="仿宋" w:hAnsi="仿宋"/>
          <w:sz w:val="28"/>
          <w:szCs w:val="28"/>
        </w:rPr>
        <w:t>.</w:t>
      </w:r>
      <w:r w:rsidRPr="00E531E2">
        <w:rPr>
          <w:rFonts w:ascii="仿宋" w:eastAsia="仿宋" w:hAnsi="仿宋" w:hint="eastAsia"/>
          <w:sz w:val="28"/>
          <w:szCs w:val="28"/>
        </w:rPr>
        <w:t>09</w:t>
      </w:r>
    </w:p>
    <w:p w:rsidR="009F0A81" w:rsidRDefault="00E531E2" w:rsidP="00E531E2">
      <w:pPr>
        <w:adjustRightInd w:val="0"/>
        <w:snapToGrid w:val="0"/>
        <w:spacing w:line="560" w:lineRule="exact"/>
        <w:ind w:firstLineChars="200" w:firstLine="560"/>
        <w:jc w:val="right"/>
        <w:rPr>
          <w:rFonts w:ascii="仿宋_GB2312" w:eastAsia="仿宋_GB2312" w:hAnsi="仿宋"/>
          <w:sz w:val="28"/>
          <w:szCs w:val="28"/>
        </w:rPr>
      </w:pPr>
      <w:r>
        <w:rPr>
          <w:rFonts w:ascii="仿宋_GB2312" w:eastAsia="仿宋_GB2312" w:hAnsi="仿宋" w:hint="eastAsia"/>
          <w:sz w:val="28"/>
          <w:szCs w:val="28"/>
        </w:rPr>
        <w:t xml:space="preserve">  </w:t>
      </w:r>
    </w:p>
    <w:tbl>
      <w:tblPr>
        <w:tblpPr w:leftFromText="180" w:rightFromText="180" w:vertAnchor="text" w:horzAnchor="page" w:tblpX="1630" w:tblpY="835"/>
        <w:tblOverlap w:val="never"/>
        <w:tblW w:w="0" w:type="auto"/>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8844"/>
      </w:tblGrid>
      <w:tr w:rsidR="009F0A81">
        <w:tc>
          <w:tcPr>
            <w:tcW w:w="8844" w:type="dxa"/>
            <w:tcMar>
              <w:top w:w="0" w:type="dxa"/>
              <w:left w:w="108" w:type="dxa"/>
              <w:bottom w:w="0" w:type="dxa"/>
              <w:right w:w="108" w:type="dxa"/>
            </w:tcMar>
          </w:tcPr>
          <w:p w:rsidR="009F0A81" w:rsidRDefault="00E531E2">
            <w:pPr>
              <w:snapToGrid w:val="0"/>
              <w:ind w:firstLineChars="50" w:firstLine="140"/>
              <w:textAlignment w:val="baseline"/>
              <w:rPr>
                <w:sz w:val="20"/>
                <w:szCs w:val="21"/>
              </w:rPr>
            </w:pPr>
            <w:r>
              <w:rPr>
                <w:rFonts w:eastAsia="仿宋_GB2312" w:hint="eastAsia"/>
                <w:sz w:val="28"/>
                <w:szCs w:val="28"/>
              </w:rPr>
              <w:t>安全与海洋工程学院办公室</w:t>
            </w:r>
            <w:r>
              <w:rPr>
                <w:rFonts w:eastAsia="仿宋_GB2312" w:hint="eastAsia"/>
                <w:sz w:val="28"/>
                <w:szCs w:val="28"/>
              </w:rPr>
              <w:t>              2022</w:t>
            </w:r>
            <w:r>
              <w:rPr>
                <w:rFonts w:eastAsia="仿宋_GB2312" w:hint="eastAsia"/>
                <w:sz w:val="28"/>
                <w:szCs w:val="28"/>
              </w:rPr>
              <w:t>年</w:t>
            </w:r>
            <w:r>
              <w:rPr>
                <w:rFonts w:eastAsia="仿宋_GB2312" w:hint="eastAsia"/>
                <w:sz w:val="28"/>
                <w:szCs w:val="28"/>
              </w:rPr>
              <w:t>12</w:t>
            </w:r>
            <w:r>
              <w:rPr>
                <w:rFonts w:eastAsia="仿宋_GB2312" w:hint="eastAsia"/>
                <w:sz w:val="28"/>
                <w:szCs w:val="28"/>
              </w:rPr>
              <w:t>月</w:t>
            </w:r>
            <w:r>
              <w:rPr>
                <w:rFonts w:eastAsia="仿宋_GB2312" w:hint="eastAsia"/>
                <w:sz w:val="28"/>
                <w:szCs w:val="28"/>
              </w:rPr>
              <w:t>9</w:t>
            </w:r>
            <w:r>
              <w:rPr>
                <w:rFonts w:eastAsia="仿宋_GB2312" w:hint="eastAsia"/>
                <w:sz w:val="28"/>
                <w:szCs w:val="28"/>
              </w:rPr>
              <w:t>日印发</w:t>
            </w:r>
          </w:p>
        </w:tc>
      </w:tr>
    </w:tbl>
    <w:p w:rsidR="009F0A81" w:rsidRDefault="009F0A81" w:rsidP="00E531E2">
      <w:pPr>
        <w:widowControl/>
        <w:adjustRightInd w:val="0"/>
        <w:snapToGrid w:val="0"/>
        <w:ind w:right="1050"/>
        <w:rPr>
          <w:rFonts w:ascii="宋体" w:hAnsi="宋体" w:cs="宋体"/>
          <w:kern w:val="0"/>
          <w:szCs w:val="21"/>
        </w:rPr>
      </w:pPr>
      <w:bookmarkStart w:id="0" w:name="_GoBack"/>
      <w:bookmarkEnd w:id="0"/>
    </w:p>
    <w:sectPr w:rsidR="009F0A81">
      <w:pgSz w:w="11906" w:h="16838"/>
      <w:pgMar w:top="986" w:right="1009" w:bottom="986" w:left="100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510E"/>
    <w:multiLevelType w:val="singleLevel"/>
    <w:tmpl w:val="2E4D510E"/>
    <w:lvl w:ilvl="0">
      <w:start w:val="1"/>
      <w:numFmt w:val="decimal"/>
      <w:suff w:val="nothing"/>
      <w:lvlText w:val="（%1）"/>
      <w:lvlJc w:val="left"/>
    </w:lvl>
  </w:abstractNum>
  <w:abstractNum w:abstractNumId="1">
    <w:nsid w:val="7EA8B9E1"/>
    <w:multiLevelType w:val="singleLevel"/>
    <w:tmpl w:val="7EA8B9E1"/>
    <w:lvl w:ilvl="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OTJhM2NlOWY5ZDViNjQ3MzEwMzUzNTc1NGRjYmUifQ=="/>
  </w:docVars>
  <w:rsids>
    <w:rsidRoot w:val="0076043A"/>
    <w:rsid w:val="00191314"/>
    <w:rsid w:val="00395F05"/>
    <w:rsid w:val="00466374"/>
    <w:rsid w:val="0076043A"/>
    <w:rsid w:val="009F0A81"/>
    <w:rsid w:val="00AC4B4F"/>
    <w:rsid w:val="00E531E2"/>
    <w:rsid w:val="02B474DE"/>
    <w:rsid w:val="03866AF2"/>
    <w:rsid w:val="122A5C59"/>
    <w:rsid w:val="16DA382D"/>
    <w:rsid w:val="18D13A0D"/>
    <w:rsid w:val="243B738D"/>
    <w:rsid w:val="256F21EA"/>
    <w:rsid w:val="26B45843"/>
    <w:rsid w:val="2CD64E91"/>
    <w:rsid w:val="38AA7A58"/>
    <w:rsid w:val="3CD21191"/>
    <w:rsid w:val="48A7153D"/>
    <w:rsid w:val="48A87146"/>
    <w:rsid w:val="5CC955CE"/>
    <w:rsid w:val="5D4903D5"/>
    <w:rsid w:val="64115437"/>
    <w:rsid w:val="655A2B12"/>
    <w:rsid w:val="6845189B"/>
    <w:rsid w:val="6DB76BF8"/>
    <w:rsid w:val="74476E80"/>
    <w:rsid w:val="7616371D"/>
    <w:rsid w:val="7AA4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Web 3" w:semiHidden="0" w:unhideWhenUsed="0"/>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spacing w:after="120"/>
      <w:ind w:leftChars="200" w:left="420"/>
    </w:p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styleId="a8">
    <w:name w:val="FollowedHyperlink"/>
    <w:basedOn w:val="a0"/>
    <w:uiPriority w:val="99"/>
    <w:semiHidden/>
    <w:unhideWhenUsed/>
    <w:qFormat/>
    <w:rPr>
      <w:color w:val="954F72"/>
      <w:u w:val="single"/>
    </w:rPr>
  </w:style>
  <w:style w:type="character" w:styleId="a9">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64">
    <w:name w:val="xl6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color w:val="000000"/>
      <w:kern w:val="0"/>
      <w:sz w:val="24"/>
      <w:szCs w:val="24"/>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color w:val="000000"/>
      <w:kern w:val="0"/>
      <w:sz w:val="24"/>
      <w:szCs w:val="24"/>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color w:val="000000"/>
      <w:kern w:val="0"/>
      <w:sz w:val="24"/>
      <w:szCs w:val="24"/>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Web 3" w:semiHidden="0" w:unhideWhenUsed="0"/>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spacing w:after="120"/>
      <w:ind w:leftChars="200" w:left="420"/>
    </w:p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character" w:styleId="a8">
    <w:name w:val="FollowedHyperlink"/>
    <w:basedOn w:val="a0"/>
    <w:uiPriority w:val="99"/>
    <w:semiHidden/>
    <w:unhideWhenUsed/>
    <w:qFormat/>
    <w:rPr>
      <w:color w:val="954F72"/>
      <w:u w:val="single"/>
    </w:rPr>
  </w:style>
  <w:style w:type="character" w:styleId="a9">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64">
    <w:name w:val="xl6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color w:val="000000"/>
      <w:kern w:val="0"/>
      <w:sz w:val="24"/>
      <w:szCs w:val="24"/>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color w:val="000000"/>
      <w:kern w:val="0"/>
      <w:sz w:val="24"/>
      <w:szCs w:val="24"/>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color w:val="000000"/>
      <w:kern w:val="0"/>
      <w:sz w:val="24"/>
      <w:szCs w:val="24"/>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佟歆</dc:creator>
  <cp:lastModifiedBy>佟歆</cp:lastModifiedBy>
  <cp:revision>3</cp:revision>
  <dcterms:created xsi:type="dcterms:W3CDTF">2021-03-23T01:42:00Z</dcterms:created>
  <dcterms:modified xsi:type="dcterms:W3CDTF">2022-12-10T04:03:00Z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C707E865FB1245A2B386DCFE9AC1FA04</vt:lpwstr>
  </property>
</Properties>
</file>