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4252" w14:textId="6EED6BBC" w:rsidR="00D645C2" w:rsidRDefault="00D645C2" w:rsidP="00926AA5">
      <w:pPr>
        <w:wordWrap w:val="0"/>
        <w:adjustRightInd w:val="0"/>
        <w:snapToGrid w:val="0"/>
        <w:spacing w:line="540" w:lineRule="exact"/>
        <w:jc w:val="center"/>
        <w:rPr>
          <w:rFonts w:ascii="仿宋_GB2312" w:eastAsia="仿宋_GB2312"/>
          <w:sz w:val="32"/>
          <w:szCs w:val="32"/>
        </w:rPr>
      </w:pPr>
    </w:p>
    <w:p w14:paraId="254AF339" w14:textId="77777777" w:rsidR="000540A3" w:rsidRDefault="000540A3" w:rsidP="00926AA5">
      <w:pPr>
        <w:wordWrap w:val="0"/>
        <w:adjustRightInd w:val="0"/>
        <w:snapToGrid w:val="0"/>
        <w:spacing w:line="540" w:lineRule="exact"/>
        <w:jc w:val="center"/>
        <w:rPr>
          <w:rFonts w:ascii="仿宋_GB2312" w:eastAsia="仿宋_GB2312"/>
          <w:sz w:val="32"/>
          <w:szCs w:val="32"/>
        </w:rPr>
      </w:pPr>
    </w:p>
    <w:p w14:paraId="6D74A296" w14:textId="77777777" w:rsidR="00D645C2" w:rsidRPr="00105AD6" w:rsidRDefault="00D645C2" w:rsidP="00926AA5">
      <w:pPr>
        <w:wordWrap w:val="0"/>
        <w:adjustRightInd w:val="0"/>
        <w:snapToGrid w:val="0"/>
        <w:spacing w:line="540" w:lineRule="exact"/>
        <w:jc w:val="center"/>
        <w:rPr>
          <w:rFonts w:ascii="仿宋_GB2312" w:eastAsia="仿宋_GB2312"/>
          <w:sz w:val="32"/>
          <w:szCs w:val="32"/>
        </w:rPr>
      </w:pPr>
    </w:p>
    <w:p w14:paraId="66C37E96" w14:textId="77777777" w:rsidR="0001143E" w:rsidRDefault="0001143E" w:rsidP="00926AA5">
      <w:pPr>
        <w:wordWrap w:val="0"/>
        <w:adjustRightInd w:val="0"/>
        <w:snapToGrid w:val="0"/>
        <w:spacing w:line="540" w:lineRule="exact"/>
        <w:jc w:val="center"/>
        <w:rPr>
          <w:rFonts w:ascii="仿宋_GB2312" w:eastAsia="仿宋_GB2312"/>
          <w:sz w:val="32"/>
          <w:szCs w:val="32"/>
        </w:rPr>
      </w:pPr>
    </w:p>
    <w:p w14:paraId="74DC3CB8" w14:textId="77777777" w:rsidR="0001143E" w:rsidRPr="00105AD6" w:rsidRDefault="0001143E" w:rsidP="00926AA5">
      <w:pPr>
        <w:wordWrap w:val="0"/>
        <w:adjustRightInd w:val="0"/>
        <w:snapToGrid w:val="0"/>
        <w:spacing w:line="540" w:lineRule="exact"/>
        <w:jc w:val="center"/>
        <w:rPr>
          <w:rFonts w:ascii="仿宋_GB2312" w:eastAsia="仿宋_GB2312"/>
          <w:sz w:val="32"/>
          <w:szCs w:val="32"/>
        </w:rPr>
      </w:pPr>
    </w:p>
    <w:p w14:paraId="40126531" w14:textId="660DAFFA" w:rsidR="0001143E" w:rsidRPr="00AA2BD5" w:rsidRDefault="0001143E" w:rsidP="00A0526E">
      <w:pPr>
        <w:adjustRightInd w:val="0"/>
        <w:snapToGrid w:val="0"/>
        <w:spacing w:afterLines="200" w:after="624"/>
        <w:jc w:val="center"/>
        <w:rPr>
          <w:rFonts w:ascii="仿宋_GB2312" w:eastAsia="仿宋_GB2312"/>
          <w:sz w:val="32"/>
          <w:szCs w:val="32"/>
        </w:rPr>
      </w:pPr>
      <w:r w:rsidRPr="00AA2BD5">
        <w:rPr>
          <w:rFonts w:ascii="仿宋_GB2312" w:eastAsia="仿宋_GB2312" w:hint="eastAsia"/>
          <w:sz w:val="32"/>
          <w:szCs w:val="32"/>
        </w:rPr>
        <w:t>中石大京</w:t>
      </w:r>
      <w:proofErr w:type="gramStart"/>
      <w:r w:rsidR="00746692">
        <w:rPr>
          <w:rFonts w:ascii="仿宋_GB2312" w:eastAsia="仿宋_GB2312" w:hint="eastAsia"/>
          <w:sz w:val="32"/>
          <w:szCs w:val="32"/>
        </w:rPr>
        <w:t>研</w:t>
      </w:r>
      <w:proofErr w:type="gramEnd"/>
      <w:r w:rsidRPr="00AA2BD5">
        <w:rPr>
          <w:rFonts w:ascii="仿宋_GB2312" w:eastAsia="仿宋_GB2312" w:hint="eastAsia"/>
          <w:sz w:val="32"/>
          <w:szCs w:val="32"/>
        </w:rPr>
        <w:t>〔20</w:t>
      </w:r>
      <w:r w:rsidR="00BE7E91">
        <w:rPr>
          <w:rFonts w:ascii="仿宋_GB2312" w:eastAsia="仿宋_GB2312"/>
          <w:sz w:val="32"/>
          <w:szCs w:val="32"/>
        </w:rPr>
        <w:t>2</w:t>
      </w:r>
      <w:r w:rsidR="00746692">
        <w:rPr>
          <w:rFonts w:ascii="仿宋_GB2312" w:eastAsia="仿宋_GB2312"/>
          <w:sz w:val="32"/>
          <w:szCs w:val="32"/>
        </w:rPr>
        <w:t>3</w:t>
      </w:r>
      <w:r w:rsidRPr="00AA2BD5">
        <w:rPr>
          <w:rFonts w:ascii="仿宋_GB2312" w:eastAsia="仿宋_GB2312" w:hint="eastAsia"/>
          <w:sz w:val="32"/>
          <w:szCs w:val="32"/>
        </w:rPr>
        <w:t>〕</w:t>
      </w:r>
      <w:r w:rsidR="00746692">
        <w:rPr>
          <w:rFonts w:ascii="仿宋_GB2312" w:eastAsia="仿宋_GB2312"/>
          <w:sz w:val="32"/>
          <w:szCs w:val="32"/>
        </w:rPr>
        <w:t>3</w:t>
      </w:r>
      <w:r w:rsidRPr="00AA2BD5">
        <w:rPr>
          <w:rFonts w:ascii="仿宋_GB2312" w:eastAsia="仿宋_GB2312" w:hint="eastAsia"/>
          <w:sz w:val="32"/>
          <w:szCs w:val="32"/>
        </w:rPr>
        <w:t>号</w:t>
      </w:r>
    </w:p>
    <w:p w14:paraId="301A7DEC" w14:textId="77777777" w:rsidR="003D3FEE" w:rsidRDefault="0001143E" w:rsidP="00351807">
      <w:pPr>
        <w:widowControl/>
        <w:wordWrap w:val="0"/>
        <w:adjustRightInd w:val="0"/>
        <w:snapToGrid w:val="0"/>
        <w:jc w:val="center"/>
        <w:rPr>
          <w:rFonts w:ascii="方正小标宋简体" w:eastAsia="方正小标宋简体" w:hAnsi="Times New Roman" w:cs="Times New Roman"/>
          <w:kern w:val="0"/>
          <w:sz w:val="44"/>
          <w:szCs w:val="44"/>
        </w:rPr>
      </w:pPr>
      <w:r w:rsidRPr="00E4054B">
        <w:rPr>
          <w:rFonts w:ascii="方正小标宋简体" w:eastAsia="方正小标宋简体" w:hAnsi="Times New Roman" w:cs="Times New Roman" w:hint="eastAsia"/>
          <w:bCs/>
          <w:kern w:val="0"/>
          <w:sz w:val="44"/>
          <w:szCs w:val="44"/>
        </w:rPr>
        <w:t>中国石油大学（北京）</w:t>
      </w:r>
      <w:r w:rsidR="00CD4FE4" w:rsidRPr="00CD4FE4">
        <w:rPr>
          <w:rFonts w:ascii="方正小标宋简体" w:eastAsia="方正小标宋简体" w:hAnsi="Times New Roman" w:cs="Times New Roman" w:hint="eastAsia"/>
          <w:kern w:val="0"/>
          <w:sz w:val="44"/>
          <w:szCs w:val="44"/>
        </w:rPr>
        <w:t>关于</w:t>
      </w:r>
      <w:r w:rsidR="008A24DF">
        <w:rPr>
          <w:rFonts w:ascii="方正小标宋简体" w:eastAsia="方正小标宋简体" w:hAnsi="Times New Roman" w:cs="Times New Roman" w:hint="eastAsia"/>
          <w:kern w:val="0"/>
          <w:sz w:val="44"/>
          <w:szCs w:val="44"/>
        </w:rPr>
        <w:t>印发</w:t>
      </w:r>
    </w:p>
    <w:p w14:paraId="2CF1D434" w14:textId="397C2C06" w:rsidR="00510BDA" w:rsidRPr="003D3FEE" w:rsidRDefault="008A24DF" w:rsidP="00351807">
      <w:pPr>
        <w:widowControl/>
        <w:wordWrap w:val="0"/>
        <w:adjustRightInd w:val="0"/>
        <w:snapToGrid w:val="0"/>
        <w:jc w:val="center"/>
        <w:rPr>
          <w:rFonts w:ascii="方正小标宋简体" w:eastAsia="方正小标宋简体" w:hAnsi="Times New Roman" w:cs="Times New Roman"/>
          <w:bCs/>
          <w:kern w:val="0"/>
          <w:sz w:val="44"/>
          <w:szCs w:val="44"/>
        </w:rPr>
      </w:pPr>
      <w:r>
        <w:rPr>
          <w:rFonts w:ascii="方正小标宋简体" w:eastAsia="方正小标宋简体" w:hAnsi="Times New Roman" w:cs="Times New Roman" w:hint="eastAsia"/>
          <w:kern w:val="0"/>
          <w:sz w:val="44"/>
          <w:szCs w:val="44"/>
        </w:rPr>
        <w:t>《</w:t>
      </w:r>
      <w:r w:rsidR="00746692" w:rsidRPr="00746692">
        <w:rPr>
          <w:rFonts w:ascii="方正小标宋简体" w:eastAsia="方正小标宋简体" w:hAnsi="Times New Roman" w:cs="Times New Roman" w:hint="eastAsia"/>
          <w:kern w:val="0"/>
          <w:sz w:val="44"/>
          <w:szCs w:val="44"/>
        </w:rPr>
        <w:t>硕博连读研究生选拔工作办法</w:t>
      </w:r>
      <w:r>
        <w:rPr>
          <w:rFonts w:ascii="方正小标宋简体" w:eastAsia="方正小标宋简体" w:hAnsi="Times New Roman" w:cs="Times New Roman" w:hint="eastAsia"/>
          <w:kern w:val="0"/>
          <w:sz w:val="44"/>
          <w:szCs w:val="44"/>
        </w:rPr>
        <w:t>》</w:t>
      </w:r>
      <w:r w:rsidR="00CD4FE4" w:rsidRPr="00CD4FE4">
        <w:rPr>
          <w:rFonts w:ascii="方正小标宋简体" w:eastAsia="方正小标宋简体" w:hAnsi="Times New Roman" w:cs="Times New Roman" w:hint="eastAsia"/>
          <w:kern w:val="0"/>
          <w:sz w:val="44"/>
          <w:szCs w:val="44"/>
        </w:rPr>
        <w:t>的</w:t>
      </w:r>
      <w:r>
        <w:rPr>
          <w:rFonts w:ascii="方正小标宋简体" w:eastAsia="方正小标宋简体" w:hAnsi="Times New Roman" w:cs="Times New Roman" w:hint="eastAsia"/>
          <w:kern w:val="0"/>
          <w:sz w:val="44"/>
          <w:szCs w:val="44"/>
        </w:rPr>
        <w:t>通知</w:t>
      </w:r>
    </w:p>
    <w:p w14:paraId="39C9BC45" w14:textId="77777777" w:rsidR="003F4E84" w:rsidRPr="005D1E92" w:rsidRDefault="003F4E84" w:rsidP="00DC09D0">
      <w:pPr>
        <w:wordWrap w:val="0"/>
        <w:adjustRightInd w:val="0"/>
        <w:snapToGrid w:val="0"/>
        <w:spacing w:line="540" w:lineRule="exact"/>
        <w:ind w:firstLineChars="200" w:firstLine="640"/>
        <w:rPr>
          <w:rFonts w:ascii="仿宋_GB2312" w:eastAsia="仿宋_GB2312" w:hAnsi="宋体"/>
          <w:bCs/>
          <w:kern w:val="0"/>
          <w:sz w:val="32"/>
          <w:szCs w:val="32"/>
        </w:rPr>
      </w:pPr>
    </w:p>
    <w:p w14:paraId="08DD9CC7" w14:textId="77777777" w:rsidR="003D3FEE" w:rsidRPr="003D3FEE" w:rsidRDefault="003D3FEE" w:rsidP="00DC09D0">
      <w:pPr>
        <w:pStyle w:val="ab"/>
        <w:shd w:val="clear" w:color="auto" w:fill="FFFFFF"/>
        <w:wordWrap w:val="0"/>
        <w:adjustRightInd w:val="0"/>
        <w:snapToGrid w:val="0"/>
        <w:spacing w:before="0" w:beforeAutospacing="0" w:after="0" w:afterAutospacing="0" w:line="540" w:lineRule="exact"/>
        <w:jc w:val="both"/>
        <w:rPr>
          <w:rFonts w:ascii="微软雅黑" w:eastAsia="微软雅黑" w:hAnsi="微软雅黑"/>
          <w:b/>
          <w:color w:val="2A2F35"/>
        </w:rPr>
      </w:pPr>
      <w:r w:rsidRPr="003D3FEE">
        <w:rPr>
          <w:rStyle w:val="ac"/>
          <w:rFonts w:ascii="仿宋_GB2312" w:eastAsia="仿宋_GB2312" w:hint="eastAsia"/>
          <w:b w:val="0"/>
          <w:color w:val="000000"/>
          <w:sz w:val="32"/>
          <w:szCs w:val="32"/>
          <w:shd w:val="clear" w:color="auto" w:fill="FFFFFF"/>
        </w:rPr>
        <w:t>校属各部门、单位：</w:t>
      </w:r>
    </w:p>
    <w:p w14:paraId="38D421BA" w14:textId="3C01DF58" w:rsidR="003D3FEE" w:rsidRDefault="003D3FEE" w:rsidP="00DC09D0">
      <w:pPr>
        <w:pStyle w:val="ab"/>
        <w:shd w:val="clear" w:color="auto" w:fill="FFFFFF"/>
        <w:wordWrap w:val="0"/>
        <w:adjustRightInd w:val="0"/>
        <w:snapToGrid w:val="0"/>
        <w:spacing w:before="0" w:beforeAutospacing="0" w:after="0" w:afterAutospacing="0" w:line="540" w:lineRule="exact"/>
        <w:ind w:firstLine="643"/>
        <w:jc w:val="both"/>
        <w:rPr>
          <w:rFonts w:ascii="微软雅黑" w:eastAsia="微软雅黑" w:hAnsi="微软雅黑"/>
          <w:color w:val="2A2F35"/>
        </w:rPr>
      </w:pPr>
      <w:r>
        <w:rPr>
          <w:rFonts w:ascii="仿宋_GB2312" w:eastAsia="仿宋_GB2312" w:hint="eastAsia"/>
          <w:color w:val="000000"/>
          <w:sz w:val="32"/>
          <w:szCs w:val="32"/>
          <w:shd w:val="clear" w:color="auto" w:fill="FFFFFF"/>
        </w:rPr>
        <w:t>经学校202</w:t>
      </w:r>
      <w:r w:rsidR="00E61702">
        <w:rPr>
          <w:rFonts w:ascii="仿宋_GB2312" w:eastAsia="仿宋_GB2312"/>
          <w:color w:val="000000"/>
          <w:sz w:val="32"/>
          <w:szCs w:val="32"/>
          <w:shd w:val="clear" w:color="auto" w:fill="FFFFFF"/>
        </w:rPr>
        <w:t>2</w:t>
      </w:r>
      <w:r>
        <w:rPr>
          <w:rFonts w:ascii="仿宋_GB2312" w:eastAsia="仿宋_GB2312" w:hint="eastAsia"/>
          <w:color w:val="000000"/>
          <w:sz w:val="32"/>
          <w:szCs w:val="32"/>
          <w:shd w:val="clear" w:color="auto" w:fill="FFFFFF"/>
        </w:rPr>
        <w:t>年第</w:t>
      </w:r>
      <w:r w:rsidR="00746692">
        <w:rPr>
          <w:rFonts w:ascii="仿宋_GB2312" w:eastAsia="仿宋_GB2312"/>
          <w:color w:val="000000"/>
          <w:sz w:val="32"/>
          <w:szCs w:val="32"/>
          <w:shd w:val="clear" w:color="auto" w:fill="FFFFFF"/>
        </w:rPr>
        <w:t>20</w:t>
      </w:r>
      <w:r>
        <w:rPr>
          <w:rFonts w:ascii="仿宋_GB2312" w:eastAsia="仿宋_GB2312" w:hint="eastAsia"/>
          <w:color w:val="000000"/>
          <w:sz w:val="32"/>
          <w:szCs w:val="32"/>
          <w:shd w:val="clear" w:color="auto" w:fill="FFFFFF"/>
        </w:rPr>
        <w:t>次校长办公会研究通过，现将《</w:t>
      </w:r>
      <w:r w:rsidR="00746692" w:rsidRPr="00746692">
        <w:rPr>
          <w:rFonts w:ascii="仿宋_GB2312" w:eastAsia="仿宋_GB2312" w:hint="eastAsia"/>
          <w:color w:val="000000"/>
          <w:sz w:val="32"/>
          <w:szCs w:val="32"/>
          <w:shd w:val="clear" w:color="auto" w:fill="FFFFFF"/>
        </w:rPr>
        <w:t>硕博连读研究生选拔工作办法</w:t>
      </w:r>
      <w:r>
        <w:rPr>
          <w:rFonts w:ascii="仿宋_GB2312" w:eastAsia="仿宋_GB2312" w:hint="eastAsia"/>
          <w:color w:val="000000"/>
          <w:sz w:val="32"/>
          <w:szCs w:val="32"/>
          <w:shd w:val="clear" w:color="auto" w:fill="FFFFFF"/>
        </w:rPr>
        <w:t>》印发给你们，请遵照执行。</w:t>
      </w:r>
    </w:p>
    <w:p w14:paraId="60C6C461" w14:textId="266DD655" w:rsidR="005D1E92" w:rsidRDefault="005D1E92" w:rsidP="00DC09D0">
      <w:pPr>
        <w:wordWrap w:val="0"/>
        <w:adjustRightInd w:val="0"/>
        <w:snapToGrid w:val="0"/>
        <w:spacing w:line="540" w:lineRule="exact"/>
        <w:ind w:firstLineChars="300" w:firstLine="960"/>
        <w:rPr>
          <w:rFonts w:ascii="仿宋_GB2312" w:eastAsia="仿宋_GB2312"/>
          <w:sz w:val="32"/>
          <w:szCs w:val="32"/>
        </w:rPr>
      </w:pPr>
    </w:p>
    <w:p w14:paraId="5EC452C5" w14:textId="77777777" w:rsidR="003D3FEE" w:rsidRPr="00C239BE" w:rsidRDefault="003D3FEE" w:rsidP="00DC09D0">
      <w:pPr>
        <w:wordWrap w:val="0"/>
        <w:adjustRightInd w:val="0"/>
        <w:snapToGrid w:val="0"/>
        <w:spacing w:line="540" w:lineRule="exact"/>
        <w:ind w:firstLineChars="300" w:firstLine="960"/>
        <w:rPr>
          <w:rFonts w:ascii="仿宋_GB2312" w:eastAsia="仿宋_GB2312"/>
          <w:sz w:val="32"/>
          <w:szCs w:val="32"/>
        </w:rPr>
      </w:pPr>
    </w:p>
    <w:p w14:paraId="4468A397" w14:textId="77777777" w:rsidR="005D1E92" w:rsidRPr="005D1E92" w:rsidRDefault="005D1E92" w:rsidP="00DC09D0">
      <w:pPr>
        <w:wordWrap w:val="0"/>
        <w:adjustRightInd w:val="0"/>
        <w:snapToGrid w:val="0"/>
        <w:spacing w:line="540" w:lineRule="exact"/>
        <w:ind w:firstLineChars="300" w:firstLine="960"/>
        <w:rPr>
          <w:rFonts w:ascii="仿宋_GB2312" w:eastAsia="仿宋_GB2312"/>
          <w:sz w:val="32"/>
          <w:szCs w:val="32"/>
        </w:rPr>
      </w:pPr>
    </w:p>
    <w:p w14:paraId="0EBE093A" w14:textId="77777777" w:rsidR="00BC7CB2" w:rsidRPr="005D1E92" w:rsidRDefault="00BC7CB2" w:rsidP="00DC09D0">
      <w:pPr>
        <w:wordWrap w:val="0"/>
        <w:adjustRightInd w:val="0"/>
        <w:snapToGrid w:val="0"/>
        <w:spacing w:line="540" w:lineRule="exact"/>
        <w:ind w:firstLineChars="200" w:firstLine="640"/>
        <w:jc w:val="right"/>
        <w:rPr>
          <w:rFonts w:ascii="仿宋_GB2312" w:eastAsia="仿宋_GB2312" w:hAnsi="Times New Roman" w:cs="Times New Roman"/>
          <w:sz w:val="32"/>
          <w:szCs w:val="32"/>
        </w:rPr>
      </w:pPr>
      <w:r w:rsidRPr="005D1E92">
        <w:rPr>
          <w:rFonts w:ascii="仿宋_GB2312" w:eastAsia="仿宋_GB2312" w:hAnsi="Times New Roman" w:cs="Times New Roman" w:hint="eastAsia"/>
          <w:sz w:val="32"/>
          <w:szCs w:val="32"/>
        </w:rPr>
        <w:t>中国石油大学（北京）</w:t>
      </w:r>
    </w:p>
    <w:p w14:paraId="2B74AC05" w14:textId="022105EE" w:rsidR="00BC7CB2" w:rsidRDefault="00BC7CB2" w:rsidP="00DC09D0">
      <w:pPr>
        <w:wordWrap w:val="0"/>
        <w:adjustRightInd w:val="0"/>
        <w:snapToGrid w:val="0"/>
        <w:spacing w:line="540" w:lineRule="exact"/>
        <w:ind w:firstLineChars="200" w:firstLine="640"/>
        <w:jc w:val="right"/>
        <w:rPr>
          <w:rFonts w:ascii="仿宋_GB2312" w:eastAsia="仿宋_GB2312" w:hAnsi="Times New Roman" w:cs="Times New Roman"/>
          <w:sz w:val="32"/>
          <w:szCs w:val="32"/>
        </w:rPr>
      </w:pPr>
      <w:r w:rsidRPr="005D1E92">
        <w:rPr>
          <w:rFonts w:ascii="仿宋_GB2312" w:eastAsia="仿宋_GB2312" w:hAnsi="Times New Roman" w:cs="Times New Roman" w:hint="eastAsia"/>
          <w:sz w:val="32"/>
          <w:szCs w:val="32"/>
        </w:rPr>
        <w:t>202</w:t>
      </w:r>
      <w:r w:rsidR="00746692">
        <w:rPr>
          <w:rFonts w:ascii="仿宋_GB2312" w:eastAsia="仿宋_GB2312" w:hAnsi="Times New Roman" w:cs="Times New Roman"/>
          <w:sz w:val="32"/>
          <w:szCs w:val="32"/>
        </w:rPr>
        <w:t>3</w:t>
      </w:r>
      <w:r w:rsidRPr="005D1E92">
        <w:rPr>
          <w:rFonts w:ascii="仿宋_GB2312" w:eastAsia="仿宋_GB2312" w:hAnsi="Times New Roman" w:cs="Times New Roman" w:hint="eastAsia"/>
          <w:sz w:val="32"/>
          <w:szCs w:val="32"/>
        </w:rPr>
        <w:t>年</w:t>
      </w:r>
      <w:r w:rsidR="00E61702">
        <w:rPr>
          <w:rFonts w:ascii="仿宋_GB2312" w:eastAsia="仿宋_GB2312" w:hAnsi="Times New Roman" w:cs="Times New Roman"/>
          <w:sz w:val="32"/>
          <w:szCs w:val="32"/>
        </w:rPr>
        <w:t>1</w:t>
      </w:r>
      <w:r w:rsidRPr="005D1E92">
        <w:rPr>
          <w:rFonts w:ascii="仿宋_GB2312" w:eastAsia="仿宋_GB2312" w:hAnsi="Times New Roman" w:cs="Times New Roman" w:hint="eastAsia"/>
          <w:sz w:val="32"/>
          <w:szCs w:val="32"/>
        </w:rPr>
        <w:t>月</w:t>
      </w:r>
      <w:r w:rsidR="00746692">
        <w:rPr>
          <w:rFonts w:ascii="仿宋_GB2312" w:eastAsia="仿宋_GB2312" w:hAnsi="Times New Roman" w:cs="Times New Roman"/>
          <w:sz w:val="32"/>
          <w:szCs w:val="32"/>
        </w:rPr>
        <w:t>4</w:t>
      </w:r>
      <w:r w:rsidRPr="005D1E92">
        <w:rPr>
          <w:rFonts w:ascii="仿宋_GB2312" w:eastAsia="仿宋_GB2312" w:hAnsi="Times New Roman" w:cs="Times New Roman" w:hint="eastAsia"/>
          <w:sz w:val="32"/>
          <w:szCs w:val="32"/>
        </w:rPr>
        <w:t>日</w:t>
      </w:r>
      <w:r w:rsidR="00746692">
        <w:rPr>
          <w:rFonts w:ascii="仿宋_GB2312" w:eastAsia="仿宋_GB2312" w:hAnsi="Times New Roman" w:cs="Times New Roman" w:hint="eastAsia"/>
          <w:sz w:val="32"/>
          <w:szCs w:val="32"/>
        </w:rPr>
        <w:t xml:space="preserve"> </w:t>
      </w:r>
      <w:r w:rsidR="00746692">
        <w:rPr>
          <w:rFonts w:ascii="仿宋_GB2312" w:eastAsia="仿宋_GB2312" w:hAnsi="Times New Roman" w:cs="Times New Roman"/>
          <w:sz w:val="32"/>
          <w:szCs w:val="32"/>
        </w:rPr>
        <w:t xml:space="preserve"> </w:t>
      </w:r>
    </w:p>
    <w:p w14:paraId="7D58B656" w14:textId="621CA2A6" w:rsidR="005D1E92" w:rsidRDefault="005D1E92" w:rsidP="00DC09D0">
      <w:pPr>
        <w:adjustRightInd w:val="0"/>
        <w:snapToGrid w:val="0"/>
        <w:spacing w:line="540" w:lineRule="exact"/>
        <w:ind w:firstLineChars="200" w:firstLine="640"/>
        <w:jc w:val="right"/>
        <w:rPr>
          <w:rFonts w:ascii="仿宋_GB2312" w:eastAsia="仿宋_GB2312" w:hAnsi="Times New Roman" w:cs="Times New Roman"/>
          <w:sz w:val="32"/>
          <w:szCs w:val="32"/>
        </w:rPr>
      </w:pPr>
    </w:p>
    <w:p w14:paraId="7F98B509" w14:textId="20661F58" w:rsidR="003D3FEE" w:rsidRDefault="003D3FEE" w:rsidP="00DC09D0">
      <w:pPr>
        <w:adjustRightInd w:val="0"/>
        <w:snapToGrid w:val="0"/>
        <w:spacing w:line="540" w:lineRule="exact"/>
        <w:ind w:firstLineChars="200" w:firstLine="640"/>
        <w:jc w:val="right"/>
        <w:rPr>
          <w:rFonts w:ascii="仿宋_GB2312" w:eastAsia="仿宋_GB2312" w:hAnsi="Times New Roman" w:cs="Times New Roman"/>
          <w:sz w:val="32"/>
          <w:szCs w:val="32"/>
        </w:rPr>
      </w:pPr>
    </w:p>
    <w:p w14:paraId="66BA165D" w14:textId="4CE283F9" w:rsidR="00351807" w:rsidRDefault="00351807" w:rsidP="00DC09D0">
      <w:pPr>
        <w:adjustRightInd w:val="0"/>
        <w:snapToGrid w:val="0"/>
        <w:spacing w:line="540" w:lineRule="exact"/>
        <w:jc w:val="left"/>
        <w:rPr>
          <w:rFonts w:ascii="仿宋_GB2312" w:eastAsia="仿宋_GB2312" w:hAnsi="Times New Roman" w:cs="Times New Roman"/>
          <w:sz w:val="32"/>
          <w:szCs w:val="32"/>
        </w:rPr>
      </w:pPr>
    </w:p>
    <w:p w14:paraId="28EDD65A" w14:textId="47450DF1" w:rsidR="000540A3" w:rsidRDefault="000540A3" w:rsidP="00DC09D0">
      <w:pPr>
        <w:adjustRightInd w:val="0"/>
        <w:snapToGrid w:val="0"/>
        <w:spacing w:line="540" w:lineRule="exact"/>
        <w:jc w:val="left"/>
        <w:rPr>
          <w:rFonts w:ascii="仿宋_GB2312" w:eastAsia="仿宋_GB2312" w:hAnsi="Times New Roman" w:cs="Times New Roman"/>
          <w:sz w:val="32"/>
          <w:szCs w:val="32"/>
        </w:rPr>
      </w:pPr>
    </w:p>
    <w:p w14:paraId="3F34A8D3" w14:textId="623D6B0F" w:rsidR="000540A3" w:rsidRDefault="000540A3" w:rsidP="00DC09D0">
      <w:pPr>
        <w:adjustRightInd w:val="0"/>
        <w:snapToGrid w:val="0"/>
        <w:spacing w:line="540" w:lineRule="exact"/>
        <w:jc w:val="left"/>
        <w:rPr>
          <w:rFonts w:ascii="仿宋_GB2312" w:eastAsia="仿宋_GB2312" w:hAnsi="Times New Roman" w:cs="Times New Roman"/>
          <w:sz w:val="32"/>
          <w:szCs w:val="32"/>
        </w:rPr>
      </w:pPr>
    </w:p>
    <w:p w14:paraId="6941186E" w14:textId="77777777" w:rsidR="000540A3" w:rsidRDefault="000540A3" w:rsidP="00DC09D0">
      <w:pPr>
        <w:adjustRightInd w:val="0"/>
        <w:snapToGrid w:val="0"/>
        <w:spacing w:line="540" w:lineRule="exact"/>
        <w:jc w:val="left"/>
        <w:rPr>
          <w:rFonts w:ascii="仿宋_GB2312" w:eastAsia="仿宋_GB2312" w:hAnsi="Times New Roman" w:cs="Times New Roman"/>
          <w:sz w:val="32"/>
          <w:szCs w:val="32"/>
        </w:rPr>
      </w:pPr>
    </w:p>
    <w:p w14:paraId="2975F88E" w14:textId="77777777" w:rsidR="00DC09D0" w:rsidRDefault="00DC09D0" w:rsidP="00DC09D0">
      <w:pPr>
        <w:adjustRightInd w:val="0"/>
        <w:snapToGrid w:val="0"/>
        <w:spacing w:line="540" w:lineRule="exact"/>
        <w:jc w:val="left"/>
        <w:rPr>
          <w:rFonts w:ascii="仿宋_GB2312" w:eastAsia="仿宋_GB2312" w:hAnsi="Times New Roman" w:cs="Times New Roman"/>
          <w:sz w:val="32"/>
          <w:szCs w:val="32"/>
        </w:rPr>
      </w:pPr>
    </w:p>
    <w:p w14:paraId="2759E54A" w14:textId="77777777" w:rsidR="00746692" w:rsidRPr="00746692" w:rsidRDefault="00746692" w:rsidP="00746692">
      <w:pPr>
        <w:widowControl/>
        <w:spacing w:line="525" w:lineRule="atLeast"/>
        <w:jc w:val="center"/>
        <w:rPr>
          <w:rFonts w:ascii="黑体" w:eastAsia="黑体" w:hAnsi="黑体"/>
          <w:color w:val="333333"/>
          <w:sz w:val="32"/>
          <w:szCs w:val="32"/>
          <w:shd w:val="clear" w:color="auto" w:fill="FFFFFF"/>
        </w:rPr>
      </w:pPr>
      <w:r w:rsidRPr="00746692">
        <w:rPr>
          <w:rFonts w:ascii="黑体" w:eastAsia="黑体" w:hAnsi="黑体" w:hint="eastAsia"/>
          <w:color w:val="333333"/>
          <w:sz w:val="32"/>
          <w:szCs w:val="32"/>
          <w:shd w:val="clear" w:color="auto" w:fill="FFFFFF"/>
        </w:rPr>
        <w:lastRenderedPageBreak/>
        <w:t>硕博连读研究生选拔工作办法</w:t>
      </w:r>
    </w:p>
    <w:p w14:paraId="3EBDFF7B" w14:textId="77777777" w:rsidR="00746692" w:rsidRPr="00746692" w:rsidRDefault="00746692" w:rsidP="000540A3">
      <w:pPr>
        <w:widowControl/>
        <w:adjustRightInd w:val="0"/>
        <w:snapToGrid w:val="0"/>
        <w:spacing w:line="560" w:lineRule="exact"/>
        <w:rPr>
          <w:rFonts w:ascii="仿宋_GB2312" w:eastAsia="仿宋_GB2312" w:hAnsi="华文仿宋"/>
          <w:b/>
          <w:color w:val="333333"/>
          <w:sz w:val="32"/>
          <w:szCs w:val="32"/>
          <w:shd w:val="clear" w:color="auto" w:fill="FFFFFF"/>
        </w:rPr>
      </w:pPr>
      <w:r>
        <w:rPr>
          <w:rFonts w:ascii="华文仿宋" w:eastAsia="华文仿宋" w:hAnsi="华文仿宋" w:hint="eastAsia"/>
          <w:b/>
          <w:color w:val="333333"/>
          <w:sz w:val="36"/>
          <w:szCs w:val="36"/>
          <w:shd w:val="clear" w:color="auto" w:fill="FFFFFF"/>
        </w:rPr>
        <w:t xml:space="preserve"> </w:t>
      </w:r>
    </w:p>
    <w:p w14:paraId="19FEE2FC"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第一章 总则</w:t>
      </w:r>
    </w:p>
    <w:p w14:paraId="6256941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第一条 为进一步优化博士研究生生源结构，规范硕博连读研究生选拔工作，全面提升博士生生源质量，吸收我校优秀在学硕士</w:t>
      </w:r>
      <w:proofErr w:type="gramStart"/>
      <w:r w:rsidRPr="00746692">
        <w:rPr>
          <w:rFonts w:ascii="仿宋_GB2312" w:eastAsia="仿宋_GB2312" w:hAnsi="宋体" w:hint="eastAsia"/>
          <w:bCs/>
          <w:sz w:val="32"/>
          <w:szCs w:val="32"/>
        </w:rPr>
        <w:t>研究生以硕博</w:t>
      </w:r>
      <w:proofErr w:type="gramEnd"/>
      <w:r w:rsidRPr="00746692">
        <w:rPr>
          <w:rFonts w:ascii="仿宋_GB2312" w:eastAsia="仿宋_GB2312" w:hAnsi="宋体" w:hint="eastAsia"/>
          <w:bCs/>
          <w:sz w:val="32"/>
          <w:szCs w:val="32"/>
        </w:rPr>
        <w:t>连读方式攻读博士学位，根据教育部相关文件精神，结合我校实际情况，特制定本办法。</w:t>
      </w:r>
    </w:p>
    <w:p w14:paraId="2E7C3F8D"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bookmarkStart w:id="0" w:name="_Hlk8196862"/>
      <w:r w:rsidRPr="00746692">
        <w:rPr>
          <w:rFonts w:ascii="仿宋_GB2312" w:eastAsia="仿宋_GB2312" w:hAnsi="宋体" w:hint="eastAsia"/>
          <w:bCs/>
          <w:sz w:val="32"/>
          <w:szCs w:val="32"/>
        </w:rPr>
        <w:t>第二条 硕博连读是从成绩优秀具有较强创新精神和科研能力的在学硕士生中选拔，经考核通过被录取为博士研究生的招生方式。</w:t>
      </w:r>
    </w:p>
    <w:p w14:paraId="6F9ECE1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第三条 本办法适用于我校在学的一、二年级全日制学术学位和专业学位（不含定向就业人员和应届毕业生）硕士研究生。</w:t>
      </w:r>
      <w:bookmarkEnd w:id="0"/>
    </w:p>
    <w:p w14:paraId="3A559908"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第二章 选拔条件</w:t>
      </w:r>
    </w:p>
    <w:p w14:paraId="00DC9CC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第四条 拥护中国共产党的领导，具有正确的政治方向，热爱祖国，愿意为社会主义现代化建设服务，遵纪守法，品行端正。</w:t>
      </w:r>
    </w:p>
    <w:p w14:paraId="2A78369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第五条 身体和心理健康状况符合学校规定。</w:t>
      </w:r>
    </w:p>
    <w:p w14:paraId="60D3420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第六条 对科学研究有浓厚兴趣，具有严谨的科学研究态度、较强的综合分析能力、创新和独立科学研究能力，具备博士研究生的培养素质。报考工程博士的在学研究生还应具有较好的理论基础和较强的工程创新实践能力。</w:t>
      </w:r>
    </w:p>
    <w:p w14:paraId="2399FA7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第七条 有至少两名所报考学科专业领域内的教授（或相当专业技术职称的专家）的书面推荐意见。</w:t>
      </w:r>
    </w:p>
    <w:p w14:paraId="6529EA63"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lastRenderedPageBreak/>
        <w:t>第八条 申请者应完成规定的全部课程学习，综合测评排名为该学科专业前50%，未达到以上要求的按破格生处理。如申请者为硕士生一年级的，可在博士入学后的第一学期进行资格重新认定，仍未达到以上要求的按破格生处理。破格生须提交申请专业三名博士生导师的推荐书各一份。</w:t>
      </w:r>
    </w:p>
    <w:p w14:paraId="1411C54A"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第九条 申请人应符合学校当年招生简章和报考学院对外语水平和科研能力等的要求。</w:t>
      </w:r>
    </w:p>
    <w:p w14:paraId="08CA5BE3"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t>第三章 选拔流程</w:t>
      </w:r>
    </w:p>
    <w:p w14:paraId="5633C930"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第十条 申请程序</w:t>
      </w:r>
    </w:p>
    <w:p w14:paraId="1BBA195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1.本人根据学校当年的招生简章和报考学院的报考条件要求在规定时间内提出申请，填写《中国石油大学（北京）硕博连读研究生申请审批表》（以下简称《审批表》）。</w:t>
      </w:r>
    </w:p>
    <w:p w14:paraId="4D6B15D1"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2.申请者的硕士生导师和</w:t>
      </w:r>
      <w:proofErr w:type="gramStart"/>
      <w:r w:rsidRPr="00746692">
        <w:rPr>
          <w:rFonts w:ascii="仿宋_GB2312" w:eastAsia="仿宋_GB2312" w:hAnsi="宋体" w:hint="eastAsia"/>
          <w:bCs/>
          <w:sz w:val="32"/>
          <w:szCs w:val="32"/>
        </w:rPr>
        <w:t>拟接收</w:t>
      </w:r>
      <w:proofErr w:type="gramEnd"/>
      <w:r w:rsidRPr="00746692">
        <w:rPr>
          <w:rFonts w:ascii="仿宋_GB2312" w:eastAsia="仿宋_GB2312" w:hAnsi="宋体" w:hint="eastAsia"/>
          <w:bCs/>
          <w:sz w:val="32"/>
          <w:szCs w:val="32"/>
        </w:rPr>
        <w:t>博士生导师分别给出推荐和接收意见（若博士生导师就是被推荐人的硕士生导师，免此项）。</w:t>
      </w:r>
    </w:p>
    <w:p w14:paraId="2030CC6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3.学院（研究院）根据申请人提供的报考材料进行审查，并将审查结果报研究生院招生办公室。</w:t>
      </w:r>
    </w:p>
    <w:p w14:paraId="0B1DED86"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4.研究生院招生办公室将在考核前，对拟考核的硕博连读生名单及相关资料（破格生须公布其破格原因与专家推荐书等）进行公示，接受学校与社会评议和监督。</w:t>
      </w:r>
    </w:p>
    <w:p w14:paraId="162DF550"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第十一条 考核录取</w:t>
      </w:r>
    </w:p>
    <w:p w14:paraId="7C28CA69"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学院（研究院）按照学校和学院当年的复试录取工作方案要求组织考核录取工作，择优确定拟录取名单，报研究生招生办公室统一网上公示。</w:t>
      </w:r>
    </w:p>
    <w:p w14:paraId="43EA21DE" w14:textId="77777777" w:rsidR="00746692" w:rsidRPr="00746692" w:rsidRDefault="00746692" w:rsidP="000540A3">
      <w:pPr>
        <w:widowControl/>
        <w:adjustRightInd w:val="0"/>
        <w:snapToGrid w:val="0"/>
        <w:spacing w:line="560" w:lineRule="exact"/>
        <w:jc w:val="center"/>
        <w:rPr>
          <w:rFonts w:ascii="仿宋_GB2312" w:eastAsia="仿宋_GB2312" w:hAnsi="华文仿宋"/>
          <w:b/>
          <w:color w:val="333333"/>
          <w:sz w:val="32"/>
          <w:szCs w:val="32"/>
          <w:shd w:val="clear" w:color="auto" w:fill="FFFFFF"/>
        </w:rPr>
      </w:pPr>
      <w:r w:rsidRPr="00746692">
        <w:rPr>
          <w:rFonts w:ascii="仿宋_GB2312" w:eastAsia="仿宋_GB2312" w:hAnsi="华文仿宋" w:hint="eastAsia"/>
          <w:b/>
          <w:color w:val="333333"/>
          <w:sz w:val="32"/>
          <w:szCs w:val="32"/>
          <w:shd w:val="clear" w:color="auto" w:fill="FFFFFF"/>
        </w:rPr>
        <w:lastRenderedPageBreak/>
        <w:t>第四章</w:t>
      </w:r>
      <w:r w:rsidRPr="00746692">
        <w:rPr>
          <w:rFonts w:ascii="仿宋_GB2312" w:eastAsia="仿宋_GB2312" w:hAnsi="华文仿宋" w:hint="eastAsia"/>
          <w:color w:val="333333"/>
          <w:sz w:val="32"/>
          <w:szCs w:val="32"/>
          <w:shd w:val="clear" w:color="auto" w:fill="FFFFFF"/>
        </w:rPr>
        <w:t xml:space="preserve"> </w:t>
      </w:r>
      <w:r w:rsidRPr="00746692">
        <w:rPr>
          <w:rFonts w:ascii="仿宋_GB2312" w:eastAsia="仿宋_GB2312" w:hAnsi="华文仿宋" w:hint="eastAsia"/>
          <w:b/>
          <w:color w:val="333333"/>
          <w:sz w:val="32"/>
          <w:szCs w:val="32"/>
          <w:shd w:val="clear" w:color="auto" w:fill="FFFFFF"/>
        </w:rPr>
        <w:t>培养与学籍管理</w:t>
      </w:r>
    </w:p>
    <w:p w14:paraId="0822281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第十二条 硕博连读研究生的培养目标与博士研究生的培养目标一致。</w:t>
      </w:r>
    </w:p>
    <w:p w14:paraId="2168465C"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第十三条 硕博连读研究生博士研究生阶段学制为四年，在校学习年限为三至五年，在校最长学习年限（含休学）为六年。</w:t>
      </w:r>
    </w:p>
    <w:p w14:paraId="385FE8A7"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第十四条 硕博连读博士生按照中国石油大学（北京）《博士研究生中期考核实施办法》（中石大京</w:t>
      </w:r>
      <w:proofErr w:type="gramStart"/>
      <w:r w:rsidRPr="00746692">
        <w:rPr>
          <w:rFonts w:ascii="仿宋_GB2312" w:eastAsia="仿宋_GB2312" w:hAnsi="宋体" w:hint="eastAsia"/>
          <w:bCs/>
          <w:sz w:val="32"/>
          <w:szCs w:val="32"/>
        </w:rPr>
        <w:t>研</w:t>
      </w:r>
      <w:proofErr w:type="gramEnd"/>
      <w:r w:rsidRPr="00746692">
        <w:rPr>
          <w:rFonts w:ascii="仿宋_GB2312" w:eastAsia="仿宋_GB2312" w:hAnsi="宋体" w:hint="eastAsia"/>
          <w:bCs/>
          <w:sz w:val="32"/>
          <w:szCs w:val="32"/>
        </w:rPr>
        <w:t xml:space="preserve">〔2020〕8号）进行中期考核，对中期考核不通过者作如下处理： </w:t>
      </w:r>
    </w:p>
    <w:p w14:paraId="526D0F1B"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1.对认定不宜继续按博士研究生标准培养，满足博士生转为硕士生培养条件的，按照《中国石油大学（北京）博士研究生转为硕士研究生培养管理办法》办理。</w:t>
      </w:r>
    </w:p>
    <w:p w14:paraId="3CE960BE"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2.对认定不宜继续按博士研究生标准培养，且不满足博士生转为硕士生培养条件的，或认定明显缺乏科研能力、不宜继续培养的，按照《中国石油大学（北京）研究生学籍管理办法》，给予退学处理。</w:t>
      </w:r>
    </w:p>
    <w:p w14:paraId="60311C02"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第十五条 硕博连读博士生毕业要求须修完原硕士专业和博士专业培养计划中的全部课程，硕士第二年申请硕博连读的考生还须要完成全部实践环节。</w:t>
      </w:r>
    </w:p>
    <w:p w14:paraId="570C6166"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第十六条 硕博连读按照《博士研究生学位论文和学位授予的规定（修订）》（中石大京</w:t>
      </w:r>
      <w:proofErr w:type="gramStart"/>
      <w:r w:rsidRPr="00746692">
        <w:rPr>
          <w:rFonts w:ascii="仿宋_GB2312" w:eastAsia="仿宋_GB2312" w:hAnsi="宋体" w:hint="eastAsia"/>
          <w:bCs/>
          <w:sz w:val="32"/>
          <w:szCs w:val="32"/>
        </w:rPr>
        <w:t>研</w:t>
      </w:r>
      <w:proofErr w:type="gramEnd"/>
      <w:r w:rsidRPr="00746692">
        <w:rPr>
          <w:rFonts w:ascii="仿宋_GB2312" w:eastAsia="仿宋_GB2312" w:hAnsi="宋体" w:hint="eastAsia"/>
          <w:bCs/>
          <w:sz w:val="32"/>
          <w:szCs w:val="32"/>
        </w:rPr>
        <w:t>〔2021〕15号）授予学位。为保障培养质量，破格生的学位论文送5位同行专家评阅。</w:t>
      </w:r>
    </w:p>
    <w:p w14:paraId="11017CBF" w14:textId="77777777" w:rsidR="00746692" w:rsidRPr="00746692" w:rsidRDefault="00746692" w:rsidP="000540A3">
      <w:pPr>
        <w:widowControl/>
        <w:adjustRightInd w:val="0"/>
        <w:snapToGrid w:val="0"/>
        <w:spacing w:line="560" w:lineRule="exact"/>
        <w:jc w:val="center"/>
        <w:rPr>
          <w:rFonts w:ascii="仿宋_GB2312" w:eastAsia="仿宋_GB2312" w:hAnsi="华文仿宋"/>
          <w:b/>
          <w:bCs/>
          <w:color w:val="333333"/>
          <w:sz w:val="32"/>
          <w:szCs w:val="32"/>
        </w:rPr>
      </w:pPr>
      <w:r w:rsidRPr="00746692">
        <w:rPr>
          <w:rStyle w:val="ac"/>
          <w:rFonts w:ascii="仿宋_GB2312" w:eastAsia="仿宋_GB2312" w:hAnsi="华文仿宋" w:hint="eastAsia"/>
          <w:color w:val="333333"/>
          <w:sz w:val="32"/>
          <w:szCs w:val="32"/>
        </w:rPr>
        <w:t>第五章 其它</w:t>
      </w:r>
    </w:p>
    <w:p w14:paraId="011B5414"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第十七条 硕博连读研究生占用当年学院及导师博士生</w:t>
      </w:r>
      <w:r w:rsidRPr="00746692">
        <w:rPr>
          <w:rFonts w:ascii="仿宋_GB2312" w:eastAsia="仿宋_GB2312" w:hAnsi="宋体" w:hint="eastAsia"/>
          <w:bCs/>
          <w:sz w:val="32"/>
          <w:szCs w:val="32"/>
        </w:rPr>
        <w:lastRenderedPageBreak/>
        <w:t>招生指标。</w:t>
      </w:r>
    </w:p>
    <w:p w14:paraId="10752895"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 xml:space="preserve">第十八条 申请人必须提供真实的证明材料，提供虚假材料的，一经查实将取消入学资格。 </w:t>
      </w:r>
    </w:p>
    <w:p w14:paraId="79A2A123" w14:textId="70661814"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第十九条 本办法自2023年硕博连读生起开始执行，此前发布的关于硕博连读生的《石油大学（北京）关于推荐提前攻读博士学位研究生的试行办法》（石大北</w:t>
      </w:r>
      <w:proofErr w:type="gramStart"/>
      <w:r w:rsidRPr="00746692">
        <w:rPr>
          <w:rFonts w:ascii="仿宋_GB2312" w:eastAsia="仿宋_GB2312" w:hAnsi="宋体" w:hint="eastAsia"/>
          <w:bCs/>
          <w:sz w:val="32"/>
          <w:szCs w:val="32"/>
        </w:rPr>
        <w:t>研</w:t>
      </w:r>
      <w:bookmarkStart w:id="1" w:name="_GoBack"/>
      <w:proofErr w:type="gramEnd"/>
      <w:r w:rsidR="008F56E8" w:rsidRPr="008F56E8">
        <w:rPr>
          <w:rFonts w:ascii="仿宋_GB2312" w:eastAsia="仿宋_GB2312" w:hAnsi="宋体" w:hint="eastAsia"/>
          <w:bCs/>
          <w:sz w:val="32"/>
          <w:szCs w:val="32"/>
        </w:rPr>
        <w:t>〔</w:t>
      </w:r>
      <w:r w:rsidR="008F56E8" w:rsidRPr="00746692">
        <w:rPr>
          <w:rFonts w:ascii="仿宋_GB2312" w:eastAsia="仿宋_GB2312" w:hAnsi="宋体" w:hint="eastAsia"/>
          <w:bCs/>
          <w:sz w:val="32"/>
          <w:szCs w:val="32"/>
        </w:rPr>
        <w:t>2002</w:t>
      </w:r>
      <w:r w:rsidR="008F56E8" w:rsidRPr="008F56E8">
        <w:rPr>
          <w:rFonts w:ascii="仿宋_GB2312" w:eastAsia="仿宋_GB2312" w:hAnsi="宋体" w:hint="eastAsia"/>
          <w:bCs/>
          <w:sz w:val="32"/>
          <w:szCs w:val="32"/>
        </w:rPr>
        <w:t>〕</w:t>
      </w:r>
      <w:r w:rsidRPr="00746692">
        <w:rPr>
          <w:rFonts w:ascii="仿宋_GB2312" w:eastAsia="仿宋_GB2312" w:hAnsi="宋体" w:hint="eastAsia"/>
          <w:bCs/>
          <w:sz w:val="32"/>
          <w:szCs w:val="32"/>
        </w:rPr>
        <w:t>2号）和《石油大学（北京）关于研究生硕博连读试行办法》（石大北</w:t>
      </w:r>
      <w:proofErr w:type="gramStart"/>
      <w:r w:rsidRPr="00746692">
        <w:rPr>
          <w:rFonts w:ascii="仿宋_GB2312" w:eastAsia="仿宋_GB2312" w:hAnsi="宋体" w:hint="eastAsia"/>
          <w:bCs/>
          <w:sz w:val="32"/>
          <w:szCs w:val="32"/>
        </w:rPr>
        <w:t>研</w:t>
      </w:r>
      <w:proofErr w:type="gramEnd"/>
      <w:r w:rsidR="008F56E8" w:rsidRPr="008F56E8">
        <w:rPr>
          <w:rFonts w:ascii="仿宋_GB2312" w:eastAsia="仿宋_GB2312" w:hAnsi="宋体" w:hint="eastAsia"/>
          <w:bCs/>
          <w:sz w:val="32"/>
          <w:szCs w:val="32"/>
        </w:rPr>
        <w:t>〔</w:t>
      </w:r>
      <w:r w:rsidRPr="00746692">
        <w:rPr>
          <w:rFonts w:ascii="仿宋_GB2312" w:eastAsia="仿宋_GB2312" w:hAnsi="宋体" w:hint="eastAsia"/>
          <w:bCs/>
          <w:sz w:val="32"/>
          <w:szCs w:val="32"/>
        </w:rPr>
        <w:t>2002</w:t>
      </w:r>
      <w:r w:rsidR="008F56E8" w:rsidRPr="008F56E8">
        <w:rPr>
          <w:rFonts w:ascii="仿宋_GB2312" w:eastAsia="仿宋_GB2312" w:hAnsi="宋体" w:hint="eastAsia"/>
          <w:bCs/>
          <w:sz w:val="32"/>
          <w:szCs w:val="32"/>
        </w:rPr>
        <w:t>〕</w:t>
      </w:r>
      <w:bookmarkEnd w:id="1"/>
      <w:r w:rsidRPr="00746692">
        <w:rPr>
          <w:rFonts w:ascii="仿宋_GB2312" w:eastAsia="仿宋_GB2312" w:hAnsi="宋体" w:hint="eastAsia"/>
          <w:bCs/>
          <w:sz w:val="32"/>
          <w:szCs w:val="32"/>
        </w:rPr>
        <w:t>3号）同时废止。以上规定如与上级文件政策规定相冲突，以上级文件政策规定为准。</w:t>
      </w:r>
    </w:p>
    <w:p w14:paraId="6F0CAC38" w14:textId="77777777" w:rsidR="00746692" w:rsidRPr="00746692" w:rsidRDefault="00746692" w:rsidP="000540A3">
      <w:pPr>
        <w:wordWrap w:val="0"/>
        <w:adjustRightInd w:val="0"/>
        <w:snapToGrid w:val="0"/>
        <w:spacing w:line="560" w:lineRule="exact"/>
        <w:ind w:firstLineChars="200" w:firstLine="640"/>
        <w:rPr>
          <w:rFonts w:ascii="仿宋_GB2312" w:eastAsia="仿宋_GB2312" w:hAnsi="宋体"/>
          <w:bCs/>
          <w:sz w:val="32"/>
          <w:szCs w:val="32"/>
        </w:rPr>
      </w:pPr>
      <w:r w:rsidRPr="00746692">
        <w:rPr>
          <w:rFonts w:ascii="仿宋_GB2312" w:eastAsia="仿宋_GB2312" w:hAnsi="宋体" w:hint="eastAsia"/>
          <w:bCs/>
          <w:sz w:val="32"/>
          <w:szCs w:val="32"/>
        </w:rPr>
        <w:t xml:space="preserve">第二十条 本办法由研究生院负责解释。 </w:t>
      </w:r>
    </w:p>
    <w:p w14:paraId="39C63421" w14:textId="03CAB334"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124983DF" w14:textId="2954BB69"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32A663DE" w14:textId="4761A926"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08A2EFAC" w14:textId="6DD15D4B"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13F4EED9" w14:textId="367BC430"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522389C" w14:textId="7777777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9322F0F" w14:textId="25443AE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5946B56" w14:textId="69E69DA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F3B0096" w14:textId="25924A11"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78304444" w14:textId="6EB7D99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3D18562" w14:textId="77777777" w:rsidR="000540A3" w:rsidRDefault="000540A3" w:rsidP="00746692">
      <w:pPr>
        <w:widowControl/>
        <w:spacing w:line="525" w:lineRule="atLeast"/>
        <w:ind w:right="135"/>
        <w:jc w:val="right"/>
        <w:rPr>
          <w:rFonts w:ascii="微软雅黑" w:eastAsia="微软雅黑" w:hAnsi="微软雅黑" w:cs="宋体"/>
          <w:color w:val="333333"/>
          <w:kern w:val="0"/>
          <w:sz w:val="28"/>
          <w:szCs w:val="28"/>
        </w:rPr>
      </w:pPr>
    </w:p>
    <w:p w14:paraId="4879EFA0" w14:textId="77777777" w:rsidR="00DC09D0" w:rsidRPr="003D3FEE" w:rsidRDefault="00DC09D0" w:rsidP="00DC09D0">
      <w:pPr>
        <w:wordWrap w:val="0"/>
        <w:adjustRightInd w:val="0"/>
        <w:snapToGrid w:val="0"/>
        <w:spacing w:line="560" w:lineRule="exact"/>
        <w:rPr>
          <w:rFonts w:ascii="仿宋_GB2312" w:eastAsia="仿宋_GB2312" w:hAnsi="Times New Roman" w:cs="Times New Roman"/>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522"/>
      </w:tblGrid>
      <w:tr w:rsidR="0001143E" w:rsidRPr="008F5967" w14:paraId="3FB7D530" w14:textId="77777777" w:rsidTr="00674474">
        <w:trPr>
          <w:jc w:val="center"/>
        </w:trPr>
        <w:tc>
          <w:tcPr>
            <w:tcW w:w="8522" w:type="dxa"/>
          </w:tcPr>
          <w:p w14:paraId="23AD057A" w14:textId="0F2BCBDE" w:rsidR="0001143E" w:rsidRPr="008F5967" w:rsidRDefault="0001143E" w:rsidP="005D1E92">
            <w:pPr>
              <w:wordWrap w:val="0"/>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w:t>
            </w:r>
            <w:r w:rsidR="00E61702">
              <w:rPr>
                <w:rFonts w:ascii="仿宋_GB2312" w:eastAsia="仿宋_GB2312"/>
                <w:color w:val="000000"/>
                <w:sz w:val="28"/>
                <w:szCs w:val="28"/>
              </w:rPr>
              <w:t>2</w:t>
            </w:r>
            <w:r w:rsidR="000540A3">
              <w:rPr>
                <w:rFonts w:ascii="仿宋_GB2312" w:eastAsia="仿宋_GB2312"/>
                <w:color w:val="000000"/>
                <w:sz w:val="28"/>
                <w:szCs w:val="28"/>
              </w:rPr>
              <w:t>3</w:t>
            </w:r>
            <w:r w:rsidRPr="00AA2BD5">
              <w:rPr>
                <w:rFonts w:ascii="仿宋_GB2312" w:eastAsia="仿宋_GB2312" w:hint="eastAsia"/>
                <w:color w:val="000000"/>
                <w:sz w:val="28"/>
                <w:szCs w:val="28"/>
              </w:rPr>
              <w:t>年</w:t>
            </w:r>
            <w:r w:rsidR="000540A3">
              <w:rPr>
                <w:rFonts w:ascii="仿宋_GB2312" w:eastAsia="仿宋_GB2312" w:hint="eastAsia"/>
                <w:color w:val="000000"/>
                <w:sz w:val="28"/>
                <w:szCs w:val="28"/>
              </w:rPr>
              <w:t>1</w:t>
            </w:r>
            <w:r w:rsidRPr="00AA2BD5">
              <w:rPr>
                <w:rFonts w:ascii="仿宋_GB2312" w:eastAsia="仿宋_GB2312" w:hint="eastAsia"/>
                <w:color w:val="000000"/>
                <w:sz w:val="28"/>
                <w:szCs w:val="28"/>
              </w:rPr>
              <w:t>月</w:t>
            </w:r>
            <w:r w:rsidR="000540A3">
              <w:rPr>
                <w:rFonts w:ascii="仿宋_GB2312" w:eastAsia="仿宋_GB2312" w:hint="eastAsia"/>
                <w:color w:val="000000"/>
                <w:sz w:val="28"/>
                <w:szCs w:val="28"/>
              </w:rPr>
              <w:t>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14:paraId="0A7A714D" w14:textId="77777777" w:rsidR="0001143E" w:rsidRPr="000540A3" w:rsidRDefault="0001143E" w:rsidP="00926AA5">
      <w:pPr>
        <w:wordWrap w:val="0"/>
        <w:adjustRightInd w:val="0"/>
        <w:snapToGrid w:val="0"/>
        <w:spacing w:line="14" w:lineRule="auto"/>
        <w:rPr>
          <w:rFonts w:ascii="仿宋_GB2312" w:eastAsia="仿宋_GB2312" w:hAnsi="Times New Roman" w:cs="Times New Roman"/>
          <w:sz w:val="32"/>
          <w:szCs w:val="32"/>
        </w:rPr>
      </w:pPr>
    </w:p>
    <w:sectPr w:rsidR="0001143E" w:rsidRPr="000540A3" w:rsidSect="000540A3">
      <w:footerReference w:type="default" r:id="rId7"/>
      <w:pgSz w:w="11906" w:h="16838" w:code="9"/>
      <w:pgMar w:top="1440" w:right="1797" w:bottom="1440" w:left="1797" w:header="851" w:footer="992" w:gutter="0"/>
      <w:paperSrc w:first="259" w:other="2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3408" w14:textId="77777777" w:rsidR="00C20EDC" w:rsidRDefault="00C20EDC" w:rsidP="007A32DC">
      <w:r>
        <w:separator/>
      </w:r>
    </w:p>
  </w:endnote>
  <w:endnote w:type="continuationSeparator" w:id="0">
    <w:p w14:paraId="72E7908F" w14:textId="77777777" w:rsidR="00C20EDC" w:rsidRDefault="00C20EDC" w:rsidP="007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943106"/>
      <w:docPartObj>
        <w:docPartGallery w:val="Page Numbers (Bottom of Page)"/>
        <w:docPartUnique/>
      </w:docPartObj>
    </w:sdtPr>
    <w:sdtEndPr>
      <w:rPr>
        <w:rFonts w:ascii="Times New Roman" w:hAnsi="Times New Roman" w:cs="Times New Roman"/>
      </w:rPr>
    </w:sdtEndPr>
    <w:sdtContent>
      <w:p w14:paraId="5AA37225" w14:textId="100EE5A6" w:rsidR="00531F24" w:rsidRPr="00142B4C" w:rsidRDefault="00531F24">
        <w:pPr>
          <w:pStyle w:val="a5"/>
          <w:jc w:val="center"/>
          <w:rPr>
            <w:rFonts w:ascii="Times New Roman" w:hAnsi="Times New Roman" w:cs="Times New Roman"/>
          </w:rPr>
        </w:pPr>
        <w:r w:rsidRPr="00142B4C">
          <w:rPr>
            <w:rFonts w:ascii="Times New Roman" w:hAnsi="Times New Roman" w:cs="Times New Roman"/>
          </w:rPr>
          <w:fldChar w:fldCharType="begin"/>
        </w:r>
        <w:r w:rsidRPr="00142B4C">
          <w:rPr>
            <w:rFonts w:ascii="Times New Roman" w:hAnsi="Times New Roman" w:cs="Times New Roman"/>
          </w:rPr>
          <w:instrText>PAGE   \* MERGEFORMAT</w:instrText>
        </w:r>
        <w:r w:rsidRPr="00142B4C">
          <w:rPr>
            <w:rFonts w:ascii="Times New Roman" w:hAnsi="Times New Roman" w:cs="Times New Roman"/>
          </w:rPr>
          <w:fldChar w:fldCharType="separate"/>
        </w:r>
        <w:r w:rsidR="00D81C6A" w:rsidRPr="00D81C6A">
          <w:rPr>
            <w:rFonts w:ascii="Times New Roman" w:hAnsi="Times New Roman" w:cs="Times New Roman"/>
            <w:noProof/>
            <w:lang w:val="zh-CN"/>
          </w:rPr>
          <w:t>2</w:t>
        </w:r>
        <w:r w:rsidRPr="00142B4C">
          <w:rPr>
            <w:rFonts w:ascii="Times New Roman" w:hAnsi="Times New Roman" w:cs="Times New Roman"/>
          </w:rPr>
          <w:fldChar w:fldCharType="end"/>
        </w:r>
      </w:p>
    </w:sdtContent>
  </w:sdt>
  <w:p w14:paraId="397D1FAA" w14:textId="77777777" w:rsidR="00531F24" w:rsidRDefault="00531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6B12" w14:textId="77777777" w:rsidR="00C20EDC" w:rsidRDefault="00C20EDC" w:rsidP="007A32DC">
      <w:r>
        <w:separator/>
      </w:r>
    </w:p>
  </w:footnote>
  <w:footnote w:type="continuationSeparator" w:id="0">
    <w:p w14:paraId="71AEC0B0" w14:textId="77777777" w:rsidR="00C20EDC" w:rsidRDefault="00C20EDC" w:rsidP="007A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039"/>
    <w:rsid w:val="00004BB0"/>
    <w:rsid w:val="00007FC0"/>
    <w:rsid w:val="0001143E"/>
    <w:rsid w:val="0001477D"/>
    <w:rsid w:val="000177A8"/>
    <w:rsid w:val="000210D4"/>
    <w:rsid w:val="0003311A"/>
    <w:rsid w:val="000342D8"/>
    <w:rsid w:val="00037300"/>
    <w:rsid w:val="000410BE"/>
    <w:rsid w:val="0004334C"/>
    <w:rsid w:val="00043735"/>
    <w:rsid w:val="000540A3"/>
    <w:rsid w:val="000C15BB"/>
    <w:rsid w:val="000E2B20"/>
    <w:rsid w:val="000F2F75"/>
    <w:rsid w:val="00104920"/>
    <w:rsid w:val="00114815"/>
    <w:rsid w:val="00116135"/>
    <w:rsid w:val="00127383"/>
    <w:rsid w:val="00142B4C"/>
    <w:rsid w:val="0017146E"/>
    <w:rsid w:val="00187012"/>
    <w:rsid w:val="0019094E"/>
    <w:rsid w:val="001C3F2D"/>
    <w:rsid w:val="001E0F19"/>
    <w:rsid w:val="002206B7"/>
    <w:rsid w:val="0022633C"/>
    <w:rsid w:val="00263C44"/>
    <w:rsid w:val="00275569"/>
    <w:rsid w:val="002835EB"/>
    <w:rsid w:val="002B3328"/>
    <w:rsid w:val="002B6660"/>
    <w:rsid w:val="002C6373"/>
    <w:rsid w:val="002D6147"/>
    <w:rsid w:val="002E56FD"/>
    <w:rsid w:val="002F174F"/>
    <w:rsid w:val="00307BC8"/>
    <w:rsid w:val="00321227"/>
    <w:rsid w:val="00333440"/>
    <w:rsid w:val="00351807"/>
    <w:rsid w:val="00357341"/>
    <w:rsid w:val="003630DE"/>
    <w:rsid w:val="00396D7A"/>
    <w:rsid w:val="003A112E"/>
    <w:rsid w:val="003A28AC"/>
    <w:rsid w:val="003B2B5F"/>
    <w:rsid w:val="003B2BAD"/>
    <w:rsid w:val="003C2A1F"/>
    <w:rsid w:val="003D3FEE"/>
    <w:rsid w:val="003E67CB"/>
    <w:rsid w:val="003E6DDD"/>
    <w:rsid w:val="003F4E84"/>
    <w:rsid w:val="004037F1"/>
    <w:rsid w:val="00404041"/>
    <w:rsid w:val="00412771"/>
    <w:rsid w:val="0042492A"/>
    <w:rsid w:val="004260C3"/>
    <w:rsid w:val="004305FF"/>
    <w:rsid w:val="004620D5"/>
    <w:rsid w:val="00463E5E"/>
    <w:rsid w:val="00482A47"/>
    <w:rsid w:val="00482B0D"/>
    <w:rsid w:val="0049531C"/>
    <w:rsid w:val="004D0A90"/>
    <w:rsid w:val="004D4810"/>
    <w:rsid w:val="004F6B37"/>
    <w:rsid w:val="00506595"/>
    <w:rsid w:val="00510BDA"/>
    <w:rsid w:val="0051449E"/>
    <w:rsid w:val="00517806"/>
    <w:rsid w:val="00517946"/>
    <w:rsid w:val="00526C77"/>
    <w:rsid w:val="00531F24"/>
    <w:rsid w:val="00555015"/>
    <w:rsid w:val="00560716"/>
    <w:rsid w:val="00566C38"/>
    <w:rsid w:val="00584E39"/>
    <w:rsid w:val="005A4019"/>
    <w:rsid w:val="005B3F00"/>
    <w:rsid w:val="005D1E92"/>
    <w:rsid w:val="005F45FD"/>
    <w:rsid w:val="00635F9B"/>
    <w:rsid w:val="00645986"/>
    <w:rsid w:val="00653B1F"/>
    <w:rsid w:val="00683F44"/>
    <w:rsid w:val="006902EC"/>
    <w:rsid w:val="0069047E"/>
    <w:rsid w:val="006951C8"/>
    <w:rsid w:val="006A7696"/>
    <w:rsid w:val="006C5D99"/>
    <w:rsid w:val="006E2601"/>
    <w:rsid w:val="006F2970"/>
    <w:rsid w:val="00704CEA"/>
    <w:rsid w:val="00713435"/>
    <w:rsid w:val="00726903"/>
    <w:rsid w:val="007279FE"/>
    <w:rsid w:val="00736E83"/>
    <w:rsid w:val="00746692"/>
    <w:rsid w:val="007544DA"/>
    <w:rsid w:val="007932EC"/>
    <w:rsid w:val="007A32DC"/>
    <w:rsid w:val="007A5704"/>
    <w:rsid w:val="007A752E"/>
    <w:rsid w:val="007B77C6"/>
    <w:rsid w:val="007D5319"/>
    <w:rsid w:val="007E7D07"/>
    <w:rsid w:val="007F727A"/>
    <w:rsid w:val="00831167"/>
    <w:rsid w:val="00831941"/>
    <w:rsid w:val="00833825"/>
    <w:rsid w:val="00876C99"/>
    <w:rsid w:val="00882F99"/>
    <w:rsid w:val="00885DA0"/>
    <w:rsid w:val="008A064A"/>
    <w:rsid w:val="008A0C36"/>
    <w:rsid w:val="008A1831"/>
    <w:rsid w:val="008A2039"/>
    <w:rsid w:val="008A24DF"/>
    <w:rsid w:val="008A44B7"/>
    <w:rsid w:val="008C67D4"/>
    <w:rsid w:val="008E284B"/>
    <w:rsid w:val="008F0FB8"/>
    <w:rsid w:val="008F56E8"/>
    <w:rsid w:val="008F6349"/>
    <w:rsid w:val="00901842"/>
    <w:rsid w:val="00902CC7"/>
    <w:rsid w:val="00920D90"/>
    <w:rsid w:val="00926AA5"/>
    <w:rsid w:val="00940923"/>
    <w:rsid w:val="0094113D"/>
    <w:rsid w:val="00942849"/>
    <w:rsid w:val="009472DE"/>
    <w:rsid w:val="009602ED"/>
    <w:rsid w:val="00964E23"/>
    <w:rsid w:val="0097385E"/>
    <w:rsid w:val="0099178B"/>
    <w:rsid w:val="00992EDE"/>
    <w:rsid w:val="009A4B63"/>
    <w:rsid w:val="009C06D8"/>
    <w:rsid w:val="009C34D8"/>
    <w:rsid w:val="009E0D5A"/>
    <w:rsid w:val="00A0526E"/>
    <w:rsid w:val="00A136F9"/>
    <w:rsid w:val="00A16E94"/>
    <w:rsid w:val="00A235A9"/>
    <w:rsid w:val="00A34F78"/>
    <w:rsid w:val="00A455F2"/>
    <w:rsid w:val="00A55B0D"/>
    <w:rsid w:val="00A85453"/>
    <w:rsid w:val="00A9500B"/>
    <w:rsid w:val="00AC51B4"/>
    <w:rsid w:val="00AD5987"/>
    <w:rsid w:val="00AE3DD9"/>
    <w:rsid w:val="00AE54D3"/>
    <w:rsid w:val="00AE5798"/>
    <w:rsid w:val="00AF7327"/>
    <w:rsid w:val="00B1068A"/>
    <w:rsid w:val="00B168CB"/>
    <w:rsid w:val="00B4263A"/>
    <w:rsid w:val="00B54C5C"/>
    <w:rsid w:val="00B704D6"/>
    <w:rsid w:val="00BA2998"/>
    <w:rsid w:val="00BA76C9"/>
    <w:rsid w:val="00BC03AB"/>
    <w:rsid w:val="00BC7973"/>
    <w:rsid w:val="00BC7CB2"/>
    <w:rsid w:val="00BD3FFD"/>
    <w:rsid w:val="00BE131D"/>
    <w:rsid w:val="00BE7E91"/>
    <w:rsid w:val="00BF158D"/>
    <w:rsid w:val="00C1030C"/>
    <w:rsid w:val="00C10FB1"/>
    <w:rsid w:val="00C20EDC"/>
    <w:rsid w:val="00C239BE"/>
    <w:rsid w:val="00C27863"/>
    <w:rsid w:val="00C46A7F"/>
    <w:rsid w:val="00C6056A"/>
    <w:rsid w:val="00C71C61"/>
    <w:rsid w:val="00C8637E"/>
    <w:rsid w:val="00C90147"/>
    <w:rsid w:val="00C969A2"/>
    <w:rsid w:val="00CA2381"/>
    <w:rsid w:val="00CB28DC"/>
    <w:rsid w:val="00CC63F5"/>
    <w:rsid w:val="00CD4FE4"/>
    <w:rsid w:val="00CD60F8"/>
    <w:rsid w:val="00CE38CE"/>
    <w:rsid w:val="00CF4859"/>
    <w:rsid w:val="00D21E48"/>
    <w:rsid w:val="00D27329"/>
    <w:rsid w:val="00D33925"/>
    <w:rsid w:val="00D40BB1"/>
    <w:rsid w:val="00D453C4"/>
    <w:rsid w:val="00D645C2"/>
    <w:rsid w:val="00D8071F"/>
    <w:rsid w:val="00D81C6A"/>
    <w:rsid w:val="00DA337C"/>
    <w:rsid w:val="00DB568E"/>
    <w:rsid w:val="00DC09D0"/>
    <w:rsid w:val="00DC3108"/>
    <w:rsid w:val="00DC4760"/>
    <w:rsid w:val="00DD04E8"/>
    <w:rsid w:val="00DE205B"/>
    <w:rsid w:val="00E14F0C"/>
    <w:rsid w:val="00E23D97"/>
    <w:rsid w:val="00E3181A"/>
    <w:rsid w:val="00E3640A"/>
    <w:rsid w:val="00E4128C"/>
    <w:rsid w:val="00E60314"/>
    <w:rsid w:val="00E61702"/>
    <w:rsid w:val="00E738DF"/>
    <w:rsid w:val="00E95B7B"/>
    <w:rsid w:val="00EC0767"/>
    <w:rsid w:val="00EC7D3C"/>
    <w:rsid w:val="00F02E55"/>
    <w:rsid w:val="00F15D13"/>
    <w:rsid w:val="00F24726"/>
    <w:rsid w:val="00F4065B"/>
    <w:rsid w:val="00F46EFF"/>
    <w:rsid w:val="00F560FC"/>
    <w:rsid w:val="00F56B0B"/>
    <w:rsid w:val="00F81D6B"/>
    <w:rsid w:val="00F87252"/>
    <w:rsid w:val="00F97159"/>
    <w:rsid w:val="00FB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749A1"/>
  <w15:docId w15:val="{E169DD94-6F3E-4C60-B610-36FDD9A2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jc w:val="left"/>
    </w:pPr>
    <w:rPr>
      <w:sz w:val="18"/>
      <w:szCs w:val="18"/>
    </w:rPr>
  </w:style>
  <w:style w:type="character" w:customStyle="1" w:styleId="a6">
    <w:name w:val="页脚 字符"/>
    <w:basedOn w:val="a0"/>
    <w:link w:val="a5"/>
    <w:uiPriority w:val="99"/>
    <w:rsid w:val="007A32DC"/>
    <w:rPr>
      <w:sz w:val="18"/>
      <w:szCs w:val="18"/>
    </w:rPr>
  </w:style>
  <w:style w:type="paragraph" w:styleId="a7">
    <w:name w:val="Date"/>
    <w:basedOn w:val="a"/>
    <w:next w:val="a"/>
    <w:link w:val="a8"/>
    <w:uiPriority w:val="99"/>
    <w:semiHidden/>
    <w:unhideWhenUsed/>
    <w:rsid w:val="0001143E"/>
    <w:pPr>
      <w:ind w:leftChars="2500" w:left="100"/>
    </w:pPr>
  </w:style>
  <w:style w:type="character" w:customStyle="1" w:styleId="a8">
    <w:name w:val="日期 字符"/>
    <w:basedOn w:val="a0"/>
    <w:link w:val="a7"/>
    <w:uiPriority w:val="99"/>
    <w:semiHidden/>
    <w:rsid w:val="0001143E"/>
  </w:style>
  <w:style w:type="paragraph" w:styleId="a9">
    <w:name w:val="Balloon Text"/>
    <w:basedOn w:val="a"/>
    <w:link w:val="aa"/>
    <w:uiPriority w:val="99"/>
    <w:semiHidden/>
    <w:unhideWhenUsed/>
    <w:rsid w:val="00902CC7"/>
    <w:rPr>
      <w:sz w:val="18"/>
      <w:szCs w:val="18"/>
    </w:rPr>
  </w:style>
  <w:style w:type="character" w:customStyle="1" w:styleId="aa">
    <w:name w:val="批注框文本 字符"/>
    <w:basedOn w:val="a0"/>
    <w:link w:val="a9"/>
    <w:uiPriority w:val="99"/>
    <w:semiHidden/>
    <w:rsid w:val="00902CC7"/>
    <w:rPr>
      <w:sz w:val="18"/>
      <w:szCs w:val="18"/>
    </w:rPr>
  </w:style>
  <w:style w:type="paragraph" w:styleId="ab">
    <w:name w:val="Normal (Web)"/>
    <w:basedOn w:val="a"/>
    <w:uiPriority w:val="99"/>
    <w:semiHidden/>
    <w:unhideWhenUsed/>
    <w:rsid w:val="003D3FEE"/>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3D3FEE"/>
    <w:rPr>
      <w:b/>
      <w:bCs/>
    </w:rPr>
  </w:style>
  <w:style w:type="paragraph" w:customStyle="1" w:styleId="cjk">
    <w:name w:val="cjk"/>
    <w:basedOn w:val="a"/>
    <w:rsid w:val="00E61702"/>
    <w:pPr>
      <w:widowControl/>
      <w:spacing w:before="100" w:beforeAutospacing="1" w:after="119"/>
    </w:pPr>
    <w:rPr>
      <w:rFonts w:ascii="宋体" w:eastAsia="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陈家富</cp:lastModifiedBy>
  <cp:revision>4</cp:revision>
  <cp:lastPrinted>2023-01-05T00:41:00Z</cp:lastPrinted>
  <dcterms:created xsi:type="dcterms:W3CDTF">2023-01-05T00:38:00Z</dcterms:created>
  <dcterms:modified xsi:type="dcterms:W3CDTF">2023-01-06T02:18:00Z</dcterms:modified>
</cp:coreProperties>
</file>