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332" w:rsidRDefault="001E4332" w:rsidP="001E4332">
      <w:pPr>
        <w:widowControl/>
        <w:snapToGrid w:val="0"/>
        <w:spacing w:line="360" w:lineRule="auto"/>
        <w:ind w:firstLine="420"/>
        <w:jc w:val="center"/>
        <w:rPr>
          <w:rFonts w:ascii="宋体" w:hAnsi="宋体"/>
          <w:kern w:val="0"/>
        </w:rPr>
      </w:pPr>
      <w:r>
        <w:rPr>
          <w:noProof/>
        </w:rPr>
        <w:drawing>
          <wp:inline distT="0" distB="0" distL="0" distR="0" wp14:anchorId="20FEAFEC" wp14:editId="65AFABDA">
            <wp:extent cx="3360420" cy="697897"/>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0970" cy="706318"/>
                    </a:xfrm>
                    <a:prstGeom prst="rect">
                      <a:avLst/>
                    </a:prstGeom>
                  </pic:spPr>
                </pic:pic>
              </a:graphicData>
            </a:graphic>
          </wp:inline>
        </w:drawing>
      </w:r>
    </w:p>
    <w:p w:rsidR="001E4332" w:rsidRPr="00AE2EC7" w:rsidRDefault="001E4332" w:rsidP="001E4332">
      <w:pPr>
        <w:widowControl/>
        <w:snapToGrid w:val="0"/>
        <w:spacing w:line="360" w:lineRule="auto"/>
        <w:ind w:firstLine="420"/>
        <w:rPr>
          <w:rFonts w:ascii="宋体" w:hAnsi="宋体"/>
          <w:color w:val="C00000"/>
          <w:kern w:val="0"/>
          <w:sz w:val="52"/>
          <w:szCs w:val="52"/>
        </w:rPr>
      </w:pPr>
      <w:r w:rsidRPr="00AE2EC7">
        <w:rPr>
          <w:rFonts w:ascii="宋体" w:hAnsi="宋体" w:hint="eastAsia"/>
          <w:color w:val="C00000"/>
          <w:kern w:val="0"/>
          <w:sz w:val="52"/>
          <w:szCs w:val="52"/>
        </w:rPr>
        <w:t>非常规油气科学技术研究院文件</w:t>
      </w:r>
    </w:p>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1E4332" w:rsidTr="00E30AF2">
        <w:tc>
          <w:tcPr>
            <w:tcW w:w="8522" w:type="dxa"/>
            <w:tcBorders>
              <w:bottom w:val="single" w:sz="18" w:space="0" w:color="C00000"/>
            </w:tcBorders>
          </w:tcPr>
          <w:p w:rsidR="001E4332" w:rsidRPr="00AE2EC7" w:rsidRDefault="001E4332" w:rsidP="00E30AF2">
            <w:pPr>
              <w:widowControl/>
              <w:snapToGrid w:val="0"/>
              <w:spacing w:line="360" w:lineRule="auto"/>
              <w:jc w:val="center"/>
            </w:pPr>
            <w:r>
              <w:rPr>
                <w:rFonts w:ascii="宋体" w:hAnsi="宋体" w:hint="eastAsia"/>
                <w:kern w:val="0"/>
              </w:rPr>
              <w:t>中石大</w:t>
            </w:r>
            <w:proofErr w:type="gramStart"/>
            <w:r>
              <w:rPr>
                <w:rFonts w:ascii="宋体" w:hAnsi="宋体" w:hint="eastAsia"/>
                <w:kern w:val="0"/>
              </w:rPr>
              <w:t>京非常规研</w:t>
            </w:r>
            <w:proofErr w:type="gramEnd"/>
            <w:r>
              <w:rPr>
                <w:rFonts w:ascii="宋体" w:hAnsi="宋体" w:hint="eastAsia"/>
                <w:kern w:val="0"/>
              </w:rPr>
              <w:t>实验室</w:t>
            </w:r>
            <w:r>
              <w:t>〔</w:t>
            </w:r>
            <w:r>
              <w:t>2019</w:t>
            </w:r>
            <w:r>
              <w:t>〕</w:t>
            </w:r>
            <w:r w:rsidR="0099548E">
              <w:rPr>
                <w:rFonts w:hint="eastAsia"/>
              </w:rPr>
              <w:t>6</w:t>
            </w:r>
            <w:r w:rsidR="00CB2467">
              <w:rPr>
                <w:rFonts w:hint="eastAsia"/>
              </w:rPr>
              <w:t xml:space="preserve"> </w:t>
            </w:r>
            <w:r>
              <w:t>号</w:t>
            </w:r>
          </w:p>
        </w:tc>
      </w:tr>
    </w:tbl>
    <w:p w:rsidR="001E4332" w:rsidRDefault="001E4332" w:rsidP="001E4332">
      <w:pPr>
        <w:widowControl/>
        <w:snapToGrid w:val="0"/>
        <w:spacing w:line="360" w:lineRule="auto"/>
        <w:ind w:firstLine="420"/>
        <w:jc w:val="center"/>
        <w:rPr>
          <w:rFonts w:ascii="宋体" w:hAnsi="宋体"/>
          <w:kern w:val="0"/>
        </w:rPr>
      </w:pPr>
    </w:p>
    <w:p w:rsidR="0099548E" w:rsidRPr="0099548E" w:rsidRDefault="0099548E" w:rsidP="0099548E">
      <w:pPr>
        <w:jc w:val="center"/>
        <w:rPr>
          <w:rFonts w:asciiTheme="minorEastAsia" w:eastAsiaTheme="minorEastAsia" w:hAnsiTheme="minorEastAsia"/>
          <w:b/>
          <w:sz w:val="28"/>
          <w:szCs w:val="28"/>
        </w:rPr>
      </w:pPr>
      <w:bookmarkStart w:id="0" w:name="_GoBack"/>
      <w:r w:rsidRPr="0099548E">
        <w:rPr>
          <w:rFonts w:asciiTheme="minorEastAsia" w:eastAsiaTheme="minorEastAsia" w:hAnsiTheme="minorEastAsia" w:hint="eastAsia"/>
          <w:b/>
          <w:sz w:val="28"/>
          <w:szCs w:val="28"/>
        </w:rPr>
        <w:t>实验室仪器设备使用管理条例</w:t>
      </w:r>
    </w:p>
    <w:bookmarkEnd w:id="0"/>
    <w:p w:rsidR="0099548E" w:rsidRPr="0099548E" w:rsidRDefault="0099548E" w:rsidP="0099548E">
      <w:pPr>
        <w:pStyle w:val="a6"/>
        <w:spacing w:line="360" w:lineRule="auto"/>
        <w:ind w:firstLine="560"/>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第一条 为了更好地为科研服务，提高采收率研究院将加强实验平台建设，提高大型精密仪器的使用效益。</w:t>
      </w:r>
    </w:p>
    <w:p w:rsidR="0099548E" w:rsidRPr="0099548E" w:rsidRDefault="0099548E" w:rsidP="0099548E">
      <w:pPr>
        <w:spacing w:line="360" w:lineRule="auto"/>
        <w:ind w:firstLineChars="187" w:firstLine="524"/>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第二条 所有在科研设备处注册为提高采收率研究院的设备，无论是什么经费来源，均为提高采收率研究院财产。关于仪器设备的管理制度适用于提高采收率研究院所有实验室仪器设备。</w:t>
      </w:r>
    </w:p>
    <w:p w:rsidR="0099548E" w:rsidRPr="0099548E" w:rsidRDefault="0099548E" w:rsidP="0099548E">
      <w:pPr>
        <w:spacing w:line="360" w:lineRule="auto"/>
        <w:ind w:firstLineChars="187" w:firstLine="524"/>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第三条提高采收率研究院的实验设备由实验室主任统一负责管理，每台仪器将指定具体的管理与使用人员，并力求人员稳定。管理人员出差时，应委托临时负责人管理仪器设备的正常运行；管理人员调离时，应安排新的管理人，交接手续完成后方可离开。</w:t>
      </w:r>
    </w:p>
    <w:p w:rsidR="0099548E" w:rsidRPr="0099548E" w:rsidRDefault="0099548E" w:rsidP="0099548E">
      <w:pPr>
        <w:spacing w:line="360" w:lineRule="auto"/>
        <w:ind w:firstLineChars="187" w:firstLine="524"/>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第四条 初次使用仪器设备，应先认真学习仪器技术使用说明书和安全操作规程，掌握仪器性能和正确的使用方法。对于精密、贵重仪器须经过实验室主任培训考核通过，方可使用。</w:t>
      </w:r>
    </w:p>
    <w:p w:rsidR="0099548E" w:rsidRPr="0099548E" w:rsidRDefault="0099548E" w:rsidP="0099548E">
      <w:pPr>
        <w:spacing w:line="360" w:lineRule="auto"/>
        <w:ind w:firstLineChars="187" w:firstLine="524"/>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第五条 使用精密仪器，应及时填写仪器使用纪录，使用过程中出现异常现象或故障，应及时处理，并载入使用纪录。</w:t>
      </w:r>
    </w:p>
    <w:p w:rsidR="0099548E" w:rsidRPr="0099548E" w:rsidRDefault="0099548E" w:rsidP="0099548E">
      <w:pPr>
        <w:spacing w:line="360" w:lineRule="auto"/>
        <w:ind w:firstLineChars="187" w:firstLine="524"/>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第六条 成套设备的部件不得拆卸、挪用，确有需要改动的，须事先经实验室主任同意。10万元以上的仪器设备需作较大改动时，</w:t>
      </w:r>
      <w:r w:rsidRPr="0099548E">
        <w:rPr>
          <w:rFonts w:asciiTheme="minorEastAsia" w:eastAsiaTheme="minorEastAsia" w:hAnsiTheme="minorEastAsia" w:hint="eastAsia"/>
          <w:sz w:val="28"/>
          <w:szCs w:val="28"/>
        </w:rPr>
        <w:lastRenderedPageBreak/>
        <w:t>须经提高采收率研究院院长同意并</w:t>
      </w:r>
      <w:proofErr w:type="gramStart"/>
      <w:r w:rsidRPr="0099548E">
        <w:rPr>
          <w:rFonts w:asciiTheme="minorEastAsia" w:eastAsiaTheme="minorEastAsia" w:hAnsiTheme="minorEastAsia" w:hint="eastAsia"/>
          <w:sz w:val="28"/>
          <w:szCs w:val="28"/>
        </w:rPr>
        <w:t>报校设备</w:t>
      </w:r>
      <w:proofErr w:type="gramEnd"/>
      <w:r w:rsidRPr="0099548E">
        <w:rPr>
          <w:rFonts w:asciiTheme="minorEastAsia" w:eastAsiaTheme="minorEastAsia" w:hAnsiTheme="minorEastAsia" w:hint="eastAsia"/>
          <w:sz w:val="28"/>
          <w:szCs w:val="28"/>
        </w:rPr>
        <w:t>处备案。</w:t>
      </w:r>
    </w:p>
    <w:p w:rsidR="0099548E" w:rsidRPr="0099548E" w:rsidRDefault="0099548E" w:rsidP="0099548E">
      <w:pPr>
        <w:spacing w:line="360" w:lineRule="auto"/>
        <w:ind w:firstLineChars="187" w:firstLine="524"/>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第七条 凡违反操作规程或保管不妥造成仪器设备损坏者，均属责任事故，按学校有关规定处理。</w:t>
      </w:r>
    </w:p>
    <w:p w:rsidR="0099548E" w:rsidRPr="0099548E" w:rsidRDefault="0099548E" w:rsidP="0099548E">
      <w:pPr>
        <w:spacing w:line="360" w:lineRule="auto"/>
        <w:ind w:firstLineChars="187" w:firstLine="524"/>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第九条 仪器设备对提高采收率研究院内外开放，为保证设备使用寿命，需要收取一定管理、运行费用。</w:t>
      </w:r>
    </w:p>
    <w:p w:rsidR="0099548E" w:rsidRPr="0099548E" w:rsidRDefault="0099548E" w:rsidP="0099548E">
      <w:pPr>
        <w:spacing w:line="360" w:lineRule="auto"/>
        <w:ind w:firstLineChars="187" w:firstLine="524"/>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第十条 使用上级拨款或以提高采收率研究院经费购置仪器设备，（如测试界面性能、流变性能及压制岩心等等）都必须由实验室主任统一管理，收入纳入实验室账户，用于仪器维护及大量材料购置、外聘人员工资。任何个人不能以提高采收率研究院设备进行营利性项目服务。</w:t>
      </w:r>
    </w:p>
    <w:p w:rsidR="0099548E" w:rsidRPr="0099548E" w:rsidRDefault="0099548E" w:rsidP="0099548E">
      <w:pPr>
        <w:spacing w:line="360" w:lineRule="auto"/>
        <w:ind w:firstLineChars="187" w:firstLine="524"/>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使用科研经费购置的仪器设备，收费标准由相应课题组提出，经实验室主任批准后执行；</w:t>
      </w:r>
    </w:p>
    <w:p w:rsidR="0099548E" w:rsidRDefault="0099548E" w:rsidP="0099548E">
      <w:pPr>
        <w:spacing w:line="360" w:lineRule="auto"/>
        <w:ind w:firstLineChars="187" w:firstLine="524"/>
        <w:rPr>
          <w:rFonts w:asciiTheme="minorEastAsia" w:eastAsiaTheme="minorEastAsia" w:hAnsiTheme="minorEastAsia"/>
          <w:sz w:val="28"/>
          <w:szCs w:val="28"/>
        </w:rPr>
      </w:pPr>
      <w:r w:rsidRPr="0099548E">
        <w:rPr>
          <w:rFonts w:asciiTheme="minorEastAsia" w:eastAsiaTheme="minorEastAsia" w:hAnsiTheme="minorEastAsia" w:hint="eastAsia"/>
          <w:sz w:val="28"/>
          <w:szCs w:val="28"/>
        </w:rPr>
        <w:t>上级拨款或以提高采收率研究院经费购置仪器设备的收费标准由提高采收率研究院核算成本后作为收费依据，并根据实际情况，每年进行一次调整。</w:t>
      </w:r>
    </w:p>
    <w:p w:rsidR="0099548E" w:rsidRDefault="0099548E" w:rsidP="0099548E">
      <w:pPr>
        <w:spacing w:line="360" w:lineRule="auto"/>
        <w:ind w:firstLineChars="187" w:firstLine="524"/>
        <w:rPr>
          <w:rFonts w:asciiTheme="minorEastAsia" w:eastAsiaTheme="minorEastAsia" w:hAnsiTheme="minorEastAsia"/>
          <w:sz w:val="28"/>
          <w:szCs w:val="28"/>
        </w:rPr>
      </w:pPr>
    </w:p>
    <w:p w:rsidR="0099548E" w:rsidRDefault="0099548E" w:rsidP="0099548E">
      <w:pPr>
        <w:spacing w:line="360" w:lineRule="auto"/>
        <w:ind w:firstLineChars="187" w:firstLine="524"/>
        <w:rPr>
          <w:rFonts w:asciiTheme="minorEastAsia" w:eastAsiaTheme="minorEastAsia" w:hAnsiTheme="minorEastAsia"/>
          <w:sz w:val="28"/>
          <w:szCs w:val="28"/>
        </w:rPr>
      </w:pPr>
    </w:p>
    <w:p w:rsidR="0099548E" w:rsidRDefault="0099548E" w:rsidP="0099548E">
      <w:pPr>
        <w:spacing w:line="360" w:lineRule="auto"/>
        <w:ind w:firstLineChars="187" w:firstLine="524"/>
        <w:rPr>
          <w:rFonts w:asciiTheme="minorEastAsia" w:eastAsiaTheme="minorEastAsia" w:hAnsiTheme="minorEastAsia"/>
          <w:sz w:val="28"/>
          <w:szCs w:val="28"/>
        </w:rPr>
      </w:pPr>
    </w:p>
    <w:p w:rsidR="0099548E" w:rsidRPr="0099548E" w:rsidRDefault="0099548E" w:rsidP="0099548E">
      <w:pPr>
        <w:spacing w:line="360" w:lineRule="auto"/>
        <w:ind w:firstLineChars="187" w:firstLine="524"/>
        <w:rPr>
          <w:rFonts w:asciiTheme="minorEastAsia" w:eastAsiaTheme="minorEastAsia" w:hAnsiTheme="minorEastAsia"/>
          <w:sz w:val="28"/>
          <w:szCs w:val="28"/>
        </w:rPr>
      </w:pPr>
    </w:p>
    <w:p w:rsidR="001E4332" w:rsidRPr="0099548E" w:rsidRDefault="008E31EA" w:rsidP="008E31EA">
      <w:pPr>
        <w:widowControl/>
        <w:snapToGrid w:val="0"/>
        <w:spacing w:line="360" w:lineRule="auto"/>
        <w:jc w:val="right"/>
        <w:rPr>
          <w:rFonts w:asciiTheme="minorEastAsia" w:eastAsiaTheme="minorEastAsia" w:hAnsiTheme="minorEastAsia"/>
          <w:kern w:val="0"/>
          <w:sz w:val="28"/>
          <w:szCs w:val="28"/>
        </w:rPr>
      </w:pPr>
      <w:r w:rsidRPr="0099548E">
        <w:rPr>
          <w:rFonts w:asciiTheme="minorEastAsia" w:eastAsiaTheme="minorEastAsia" w:hAnsiTheme="minorEastAsia" w:hint="eastAsia"/>
          <w:kern w:val="0"/>
          <w:sz w:val="28"/>
          <w:szCs w:val="28"/>
        </w:rPr>
        <w:t>中国石油大学（北京）非常规油气科学技术研究院</w:t>
      </w:r>
    </w:p>
    <w:tbl>
      <w:tblPr>
        <w:tblStyle w:val="a5"/>
        <w:tblW w:w="0" w:type="auto"/>
        <w:tblLook w:val="04A0" w:firstRow="1" w:lastRow="0" w:firstColumn="1" w:lastColumn="0" w:noHBand="0" w:noVBand="1"/>
      </w:tblPr>
      <w:tblGrid>
        <w:gridCol w:w="8522"/>
      </w:tblGrid>
      <w:tr w:rsidR="001E4332" w:rsidRPr="00AE2EC7" w:rsidTr="00E30AF2">
        <w:tc>
          <w:tcPr>
            <w:tcW w:w="8522" w:type="dxa"/>
            <w:tcBorders>
              <w:top w:val="single" w:sz="12" w:space="0" w:color="auto"/>
              <w:left w:val="nil"/>
              <w:right w:val="nil"/>
            </w:tcBorders>
            <w:vAlign w:val="center"/>
          </w:tcPr>
          <w:p w:rsidR="001E4332" w:rsidRPr="00AE2EC7" w:rsidRDefault="001E4332" w:rsidP="00E30AF2">
            <w:pPr>
              <w:rPr>
                <w:rFonts w:asciiTheme="minorEastAsia" w:eastAsiaTheme="minorEastAsia" w:hAnsiTheme="minorEastAsia"/>
                <w:sz w:val="24"/>
              </w:rPr>
            </w:pPr>
            <w:r w:rsidRPr="00AE2EC7">
              <w:rPr>
                <w:rFonts w:asciiTheme="minorEastAsia" w:eastAsiaTheme="minorEastAsia" w:hAnsiTheme="minorEastAsia" w:hint="eastAsia"/>
                <w:sz w:val="24"/>
              </w:rPr>
              <w:t>抄送：各研究所</w:t>
            </w:r>
          </w:p>
        </w:tc>
      </w:tr>
      <w:tr w:rsidR="001E4332" w:rsidRPr="0099548E" w:rsidTr="00E30AF2">
        <w:tc>
          <w:tcPr>
            <w:tcW w:w="8522" w:type="dxa"/>
            <w:tcBorders>
              <w:left w:val="nil"/>
              <w:bottom w:val="single" w:sz="12" w:space="0" w:color="auto"/>
              <w:right w:val="nil"/>
            </w:tcBorders>
            <w:vAlign w:val="center"/>
          </w:tcPr>
          <w:p w:rsidR="001E4332" w:rsidRPr="00AE2EC7" w:rsidRDefault="001E4332" w:rsidP="00E30AF2">
            <w:pPr>
              <w:rPr>
                <w:rFonts w:asciiTheme="minorEastAsia" w:eastAsiaTheme="minorEastAsia" w:hAnsiTheme="minorEastAsia"/>
                <w:sz w:val="24"/>
              </w:rPr>
            </w:pPr>
            <w:r w:rsidRPr="00AE2EC7">
              <w:rPr>
                <w:rFonts w:asciiTheme="minorEastAsia" w:eastAsiaTheme="minorEastAsia" w:hAnsiTheme="minorEastAsia" w:hint="eastAsia"/>
                <w:sz w:val="24"/>
              </w:rPr>
              <w:t>非常规油气科学技术研究院办公室                  2019年</w:t>
            </w:r>
            <w:r w:rsidR="0099548E">
              <w:rPr>
                <w:rFonts w:asciiTheme="minorEastAsia" w:eastAsiaTheme="minorEastAsia" w:hAnsiTheme="minorEastAsia" w:hint="eastAsia"/>
                <w:sz w:val="24"/>
              </w:rPr>
              <w:t>4</w:t>
            </w:r>
            <w:r w:rsidRPr="00AE2EC7">
              <w:rPr>
                <w:rFonts w:asciiTheme="minorEastAsia" w:eastAsiaTheme="minorEastAsia" w:hAnsiTheme="minorEastAsia" w:hint="eastAsia"/>
                <w:sz w:val="24"/>
              </w:rPr>
              <w:t>月</w:t>
            </w:r>
            <w:r w:rsidR="007620CC">
              <w:rPr>
                <w:rFonts w:asciiTheme="minorEastAsia" w:eastAsiaTheme="minorEastAsia" w:hAnsiTheme="minorEastAsia" w:hint="eastAsia"/>
                <w:sz w:val="24"/>
              </w:rPr>
              <w:t>4</w:t>
            </w:r>
            <w:r w:rsidRPr="00AE2EC7">
              <w:rPr>
                <w:rFonts w:asciiTheme="minorEastAsia" w:eastAsiaTheme="minorEastAsia" w:hAnsiTheme="minorEastAsia" w:hint="eastAsia"/>
                <w:sz w:val="24"/>
              </w:rPr>
              <w:t>日印发</w:t>
            </w:r>
          </w:p>
        </w:tc>
      </w:tr>
    </w:tbl>
    <w:p w:rsidR="00987CCB" w:rsidRPr="007620CC" w:rsidRDefault="00987CCB" w:rsidP="008E31EA"/>
    <w:sectPr w:rsidR="00987CCB" w:rsidRPr="007620C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844" w:rsidRDefault="007D5844" w:rsidP="005C1D87">
      <w:r>
        <w:separator/>
      </w:r>
    </w:p>
  </w:endnote>
  <w:endnote w:type="continuationSeparator" w:id="0">
    <w:p w:rsidR="007D5844" w:rsidRDefault="007D5844" w:rsidP="005C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039908"/>
      <w:docPartObj>
        <w:docPartGallery w:val="Page Numbers (Bottom of Page)"/>
        <w:docPartUnique/>
      </w:docPartObj>
    </w:sdtPr>
    <w:sdtEndPr/>
    <w:sdtContent>
      <w:p w:rsidR="0025609C" w:rsidRDefault="0025609C">
        <w:pPr>
          <w:pStyle w:val="a4"/>
          <w:jc w:val="center"/>
        </w:pPr>
        <w:r>
          <w:fldChar w:fldCharType="begin"/>
        </w:r>
        <w:r>
          <w:instrText>PAGE   \* MERGEFORMAT</w:instrText>
        </w:r>
        <w:r>
          <w:fldChar w:fldCharType="separate"/>
        </w:r>
        <w:r w:rsidR="00A92DE5" w:rsidRPr="00A92DE5">
          <w:rPr>
            <w:noProof/>
            <w:lang w:val="zh-CN"/>
          </w:rPr>
          <w:t>1</w:t>
        </w:r>
        <w:r>
          <w:fldChar w:fldCharType="end"/>
        </w:r>
      </w:p>
    </w:sdtContent>
  </w:sdt>
  <w:p w:rsidR="0025609C" w:rsidRDefault="002560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844" w:rsidRDefault="007D5844" w:rsidP="005C1D87">
      <w:r>
        <w:separator/>
      </w:r>
    </w:p>
  </w:footnote>
  <w:footnote w:type="continuationSeparator" w:id="0">
    <w:p w:rsidR="007D5844" w:rsidRDefault="007D5844" w:rsidP="005C1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18"/>
    <w:rsid w:val="00022D64"/>
    <w:rsid w:val="00033CB0"/>
    <w:rsid w:val="001247FF"/>
    <w:rsid w:val="001C7B43"/>
    <w:rsid w:val="001E4332"/>
    <w:rsid w:val="0025609C"/>
    <w:rsid w:val="003013CC"/>
    <w:rsid w:val="004A73C9"/>
    <w:rsid w:val="005203CD"/>
    <w:rsid w:val="005C0599"/>
    <w:rsid w:val="005C1D87"/>
    <w:rsid w:val="0073616D"/>
    <w:rsid w:val="007620CC"/>
    <w:rsid w:val="007D5844"/>
    <w:rsid w:val="0082312D"/>
    <w:rsid w:val="00876018"/>
    <w:rsid w:val="008E31EA"/>
    <w:rsid w:val="00987CCB"/>
    <w:rsid w:val="0099548E"/>
    <w:rsid w:val="00A152B2"/>
    <w:rsid w:val="00A765BF"/>
    <w:rsid w:val="00A92DE5"/>
    <w:rsid w:val="00B655DA"/>
    <w:rsid w:val="00CB2467"/>
    <w:rsid w:val="00D3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D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D87"/>
    <w:rPr>
      <w:rFonts w:ascii="Times New Roman" w:eastAsia="宋体" w:hAnsi="Times New Roman" w:cs="Times New Roman"/>
      <w:sz w:val="18"/>
      <w:szCs w:val="18"/>
    </w:rPr>
  </w:style>
  <w:style w:type="paragraph" w:styleId="a4">
    <w:name w:val="footer"/>
    <w:basedOn w:val="a"/>
    <w:link w:val="Char0"/>
    <w:uiPriority w:val="99"/>
    <w:unhideWhenUsed/>
    <w:rsid w:val="005C1D87"/>
    <w:pPr>
      <w:tabs>
        <w:tab w:val="center" w:pos="4153"/>
        <w:tab w:val="right" w:pos="8306"/>
      </w:tabs>
      <w:snapToGrid w:val="0"/>
      <w:jc w:val="left"/>
    </w:pPr>
    <w:rPr>
      <w:sz w:val="18"/>
      <w:szCs w:val="18"/>
    </w:rPr>
  </w:style>
  <w:style w:type="character" w:customStyle="1" w:styleId="Char0">
    <w:name w:val="页脚 Char"/>
    <w:basedOn w:val="a0"/>
    <w:link w:val="a4"/>
    <w:uiPriority w:val="99"/>
    <w:rsid w:val="005C1D87"/>
    <w:rPr>
      <w:rFonts w:ascii="Times New Roman" w:eastAsia="宋体" w:hAnsi="Times New Roman" w:cs="Times New Roman"/>
      <w:sz w:val="18"/>
      <w:szCs w:val="18"/>
    </w:rPr>
  </w:style>
  <w:style w:type="table" w:styleId="a5">
    <w:name w:val="Table Grid"/>
    <w:basedOn w:val="a1"/>
    <w:uiPriority w:val="59"/>
    <w:rsid w:val="001E4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Char1"/>
    <w:rsid w:val="0099548E"/>
    <w:pPr>
      <w:ind w:firstLineChars="200" w:firstLine="420"/>
    </w:pPr>
  </w:style>
  <w:style w:type="character" w:customStyle="1" w:styleId="Char1">
    <w:name w:val="正文文本缩进 Char"/>
    <w:basedOn w:val="a0"/>
    <w:link w:val="a6"/>
    <w:rsid w:val="0099548E"/>
    <w:rPr>
      <w:rFonts w:ascii="Times New Roman" w:eastAsia="宋体" w:hAnsi="Times New Roman" w:cs="Times New Roman"/>
      <w:szCs w:val="24"/>
    </w:rPr>
  </w:style>
  <w:style w:type="paragraph" w:styleId="a7">
    <w:name w:val="Balloon Text"/>
    <w:basedOn w:val="a"/>
    <w:link w:val="Char2"/>
    <w:uiPriority w:val="99"/>
    <w:semiHidden/>
    <w:unhideWhenUsed/>
    <w:rsid w:val="007620CC"/>
    <w:rPr>
      <w:sz w:val="18"/>
      <w:szCs w:val="18"/>
    </w:rPr>
  </w:style>
  <w:style w:type="character" w:customStyle="1" w:styleId="Char2">
    <w:name w:val="批注框文本 Char"/>
    <w:basedOn w:val="a0"/>
    <w:link w:val="a7"/>
    <w:uiPriority w:val="99"/>
    <w:semiHidden/>
    <w:rsid w:val="007620C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D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D87"/>
    <w:rPr>
      <w:rFonts w:ascii="Times New Roman" w:eastAsia="宋体" w:hAnsi="Times New Roman" w:cs="Times New Roman"/>
      <w:sz w:val="18"/>
      <w:szCs w:val="18"/>
    </w:rPr>
  </w:style>
  <w:style w:type="paragraph" w:styleId="a4">
    <w:name w:val="footer"/>
    <w:basedOn w:val="a"/>
    <w:link w:val="Char0"/>
    <w:uiPriority w:val="99"/>
    <w:unhideWhenUsed/>
    <w:rsid w:val="005C1D87"/>
    <w:pPr>
      <w:tabs>
        <w:tab w:val="center" w:pos="4153"/>
        <w:tab w:val="right" w:pos="8306"/>
      </w:tabs>
      <w:snapToGrid w:val="0"/>
      <w:jc w:val="left"/>
    </w:pPr>
    <w:rPr>
      <w:sz w:val="18"/>
      <w:szCs w:val="18"/>
    </w:rPr>
  </w:style>
  <w:style w:type="character" w:customStyle="1" w:styleId="Char0">
    <w:name w:val="页脚 Char"/>
    <w:basedOn w:val="a0"/>
    <w:link w:val="a4"/>
    <w:uiPriority w:val="99"/>
    <w:rsid w:val="005C1D87"/>
    <w:rPr>
      <w:rFonts w:ascii="Times New Roman" w:eastAsia="宋体" w:hAnsi="Times New Roman" w:cs="Times New Roman"/>
      <w:sz w:val="18"/>
      <w:szCs w:val="18"/>
    </w:rPr>
  </w:style>
  <w:style w:type="table" w:styleId="a5">
    <w:name w:val="Table Grid"/>
    <w:basedOn w:val="a1"/>
    <w:uiPriority w:val="59"/>
    <w:rsid w:val="001E4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Char1"/>
    <w:rsid w:val="0099548E"/>
    <w:pPr>
      <w:ind w:firstLineChars="200" w:firstLine="420"/>
    </w:pPr>
  </w:style>
  <w:style w:type="character" w:customStyle="1" w:styleId="Char1">
    <w:name w:val="正文文本缩进 Char"/>
    <w:basedOn w:val="a0"/>
    <w:link w:val="a6"/>
    <w:rsid w:val="0099548E"/>
    <w:rPr>
      <w:rFonts w:ascii="Times New Roman" w:eastAsia="宋体" w:hAnsi="Times New Roman" w:cs="Times New Roman"/>
      <w:szCs w:val="24"/>
    </w:rPr>
  </w:style>
  <w:style w:type="paragraph" w:styleId="a7">
    <w:name w:val="Balloon Text"/>
    <w:basedOn w:val="a"/>
    <w:link w:val="Char2"/>
    <w:uiPriority w:val="99"/>
    <w:semiHidden/>
    <w:unhideWhenUsed/>
    <w:rsid w:val="007620CC"/>
    <w:rPr>
      <w:sz w:val="18"/>
      <w:szCs w:val="18"/>
    </w:rPr>
  </w:style>
  <w:style w:type="character" w:customStyle="1" w:styleId="Char2">
    <w:name w:val="批注框文本 Char"/>
    <w:basedOn w:val="a0"/>
    <w:link w:val="a7"/>
    <w:uiPriority w:val="99"/>
    <w:semiHidden/>
    <w:rsid w:val="007620C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5028">
      <w:bodyDiv w:val="1"/>
      <w:marLeft w:val="0"/>
      <w:marRight w:val="0"/>
      <w:marTop w:val="0"/>
      <w:marBottom w:val="0"/>
      <w:divBdr>
        <w:top w:val="none" w:sz="0" w:space="0" w:color="auto"/>
        <w:left w:val="none" w:sz="0" w:space="0" w:color="auto"/>
        <w:bottom w:val="none" w:sz="0" w:space="0" w:color="auto"/>
        <w:right w:val="none" w:sz="0" w:space="0" w:color="auto"/>
      </w:divBdr>
    </w:div>
    <w:div w:id="3255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Dell</cp:lastModifiedBy>
  <cp:revision>9</cp:revision>
  <cp:lastPrinted>2019-07-01T11:38:00Z</cp:lastPrinted>
  <dcterms:created xsi:type="dcterms:W3CDTF">2019-07-01T09:57:00Z</dcterms:created>
  <dcterms:modified xsi:type="dcterms:W3CDTF">2020-01-03T08:54:00Z</dcterms:modified>
</cp:coreProperties>
</file>