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A2EBA">
      <w:pPr>
        <w:adjustRightInd w:val="0"/>
        <w:snapToGrid w:val="0"/>
        <w:spacing w:line="600" w:lineRule="exact"/>
        <w:rPr>
          <w:rFonts w:hint="eastAsia" w:eastAsia="黑体"/>
          <w:color w:val="000000" w:themeColor="text1"/>
          <w:lang w:eastAsia="zh-CN"/>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w:t>
      </w:r>
      <w:r>
        <w:rPr>
          <w:rFonts w:eastAsia="黑体" w:cs="黑体"/>
          <w:color w:val="000000" w:themeColor="text1"/>
          <w:sz w:val="32"/>
          <w:szCs w:val="32"/>
          <w14:textFill>
            <w14:solidFill>
              <w14:schemeClr w14:val="tx1"/>
            </w14:solidFill>
          </w14:textFill>
        </w:rPr>
        <w:t>1</w:t>
      </w:r>
    </w:p>
    <w:p w14:paraId="11554592">
      <w:pPr>
        <w:adjustRightInd w:val="0"/>
        <w:snapToGrid w:val="0"/>
        <w:spacing w:line="600" w:lineRule="exact"/>
        <w:jc w:val="center"/>
        <w:rPr>
          <w:rFonts w:hint="eastAsia" w:ascii="方正小标宋简体" w:eastAsia="方正小标宋简体"/>
          <w:color w:val="000000" w:themeColor="text1"/>
          <w:sz w:val="44"/>
          <w:szCs w:val="44"/>
          <w14:textFill>
            <w14:solidFill>
              <w14:schemeClr w14:val="tx1"/>
            </w14:solidFill>
          </w14:textFill>
        </w:rPr>
      </w:pPr>
    </w:p>
    <w:p w14:paraId="443CF843">
      <w:pPr>
        <w:adjustRightInd w:val="0"/>
        <w:snapToGrid w:val="0"/>
        <w:spacing w:line="600" w:lineRule="exact"/>
        <w:jc w:val="center"/>
        <w:rPr>
          <w:rFonts w:eastAsia="仿宋_GB2312" w:cs="仿宋_GB2312"/>
          <w:b/>
          <w:bCs/>
          <w:color w:val="000000" w:themeColor="text1"/>
          <w:kern w:val="0"/>
          <w:sz w:val="36"/>
          <w:szCs w:val="36"/>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中国石油大学（北京）202</w:t>
      </w:r>
      <w:r>
        <w:rPr>
          <w:rFonts w:hint="eastAsia" w:ascii="方正小标宋简体" w:eastAsia="方正小标宋简体"/>
          <w:color w:val="000000" w:themeColor="text1"/>
          <w:sz w:val="44"/>
          <w:szCs w:val="44"/>
          <w:lang w:val="en-US" w:eastAsia="zh-CN"/>
          <w14:textFill>
            <w14:solidFill>
              <w14:schemeClr w14:val="tx1"/>
            </w14:solidFill>
          </w14:textFill>
        </w:rPr>
        <w:t>6</w:t>
      </w:r>
      <w:r>
        <w:rPr>
          <w:rFonts w:hint="eastAsia" w:ascii="方正小标宋简体" w:eastAsia="方正小标宋简体"/>
          <w:color w:val="000000" w:themeColor="text1"/>
          <w:sz w:val="44"/>
          <w:szCs w:val="44"/>
          <w14:textFill>
            <w14:solidFill>
              <w14:schemeClr w14:val="tx1"/>
            </w14:solidFill>
          </w14:textFill>
        </w:rPr>
        <w:t>年“诵读中国”诵读大赛</w:t>
      </w:r>
      <w:r>
        <w:rPr>
          <w:rFonts w:hint="eastAsia" w:ascii="方正小标宋简体" w:eastAsia="方正小标宋简体"/>
          <w:color w:val="000000" w:themeColor="text1"/>
          <w:sz w:val="44"/>
          <w:szCs w:val="44"/>
          <w:lang w:val="en-US" w:eastAsia="zh-CN"/>
          <w14:textFill>
            <w14:solidFill>
              <w14:schemeClr w14:val="tx1"/>
            </w14:solidFill>
          </w14:textFill>
        </w:rPr>
        <w:t>选拔</w:t>
      </w:r>
      <w:r>
        <w:rPr>
          <w:rFonts w:hint="eastAsia" w:ascii="方正小标宋简体" w:eastAsia="方正小标宋简体"/>
          <w:color w:val="000000" w:themeColor="text1"/>
          <w:sz w:val="44"/>
          <w:szCs w:val="44"/>
          <w14:textFill>
            <w14:solidFill>
              <w14:schemeClr w14:val="tx1"/>
            </w14:solidFill>
          </w14:textFill>
        </w:rPr>
        <w:t>方案</w:t>
      </w:r>
    </w:p>
    <w:p w14:paraId="169B81CA">
      <w:pPr>
        <w:widowControl/>
        <w:shd w:val="clear" w:color="auto" w:fill="FFFFFF"/>
        <w:wordWrap w:val="0"/>
        <w:spacing w:line="600" w:lineRule="exact"/>
        <w:jc w:val="center"/>
        <w:rPr>
          <w:rFonts w:hint="eastAsia" w:eastAsia="仿宋_GB2312" w:cs="仿宋_GB2312"/>
          <w:color w:val="000000" w:themeColor="text1"/>
          <w:kern w:val="0"/>
          <w:sz w:val="32"/>
          <w:szCs w:val="32"/>
          <w:lang w:eastAsia="zh-CN"/>
          <w14:textFill>
            <w14:solidFill>
              <w14:schemeClr w14:val="tx1"/>
            </w14:solidFill>
          </w14:textFill>
        </w:rPr>
      </w:pPr>
    </w:p>
    <w:p w14:paraId="6F241C2F">
      <w:pPr>
        <w:widowControl/>
        <w:shd w:val="clear" w:color="auto" w:fill="FFFFFF"/>
        <w:adjustRightInd w:val="0"/>
        <w:snapToGrid w:val="0"/>
        <w:spacing w:line="60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诵读古今经典，弘扬中国精神。为深化全民阅读活动开展，引领社会大众亲近中华经典，传承弘扬中华优秀文化，</w:t>
      </w:r>
      <w:r>
        <w:rPr>
          <w:rFonts w:hint="eastAsia" w:ascii="仿宋_GB2312" w:eastAsia="仿宋_GB2312"/>
          <w:color w:val="000000" w:themeColor="text1"/>
          <w:sz w:val="32"/>
          <w:szCs w:val="32"/>
          <w:lang w:val="en-US" w:eastAsia="zh-CN"/>
          <w14:textFill>
            <w14:solidFill>
              <w14:schemeClr w14:val="tx1"/>
            </w14:solidFill>
          </w14:textFill>
        </w:rPr>
        <w:t>齐心共书</w:t>
      </w:r>
      <w:r>
        <w:rPr>
          <w:rFonts w:hint="eastAsia" w:ascii="仿宋_GB2312" w:eastAsia="仿宋_GB2312"/>
          <w:color w:val="000000" w:themeColor="text1"/>
          <w:sz w:val="32"/>
          <w:szCs w:val="32"/>
          <w14:textFill>
            <w14:solidFill>
              <w14:schemeClr w14:val="tx1"/>
            </w14:solidFill>
          </w14:textFill>
        </w:rPr>
        <w:t>强国新篇章，</w:t>
      </w:r>
      <w:r>
        <w:rPr>
          <w:rFonts w:hint="eastAsia" w:ascii="仿宋_GB2312" w:eastAsia="仿宋_GB2312"/>
          <w:color w:val="000000" w:themeColor="text1"/>
          <w:sz w:val="32"/>
          <w:szCs w:val="32"/>
          <w:lang w:val="en-US" w:eastAsia="zh-CN"/>
          <w14:textFill>
            <w14:solidFill>
              <w14:schemeClr w14:val="tx1"/>
            </w14:solidFill>
          </w14:textFill>
        </w:rPr>
        <w:t>中国石油大学（北京）举办</w:t>
      </w:r>
      <w:r>
        <w:rPr>
          <w:rFonts w:hint="eastAsia" w:ascii="仿宋_GB2312" w:eastAsia="仿宋_GB2312"/>
          <w:color w:val="000000" w:themeColor="text1"/>
          <w:sz w:val="32"/>
          <w:szCs w:val="32"/>
          <w14:textFill>
            <w14:solidFill>
              <w14:schemeClr w14:val="tx1"/>
            </w14:solidFill>
          </w14:textFill>
        </w:rPr>
        <w:t>“诵读中国”经典诵读大赛</w:t>
      </w:r>
      <w:r>
        <w:rPr>
          <w:rFonts w:hint="eastAsia" w:ascii="仿宋_GB2312" w:eastAsia="仿宋_GB2312"/>
          <w:color w:val="000000" w:themeColor="text1"/>
          <w:sz w:val="32"/>
          <w:szCs w:val="32"/>
          <w:lang w:val="en-US" w:eastAsia="zh-CN"/>
          <w14:textFill>
            <w14:solidFill>
              <w14:schemeClr w14:val="tx1"/>
            </w14:solidFill>
          </w14:textFill>
        </w:rPr>
        <w:t>校内推荐选拔工作</w:t>
      </w:r>
      <w:r>
        <w:rPr>
          <w:rFonts w:hint="eastAsia" w:ascii="仿宋_GB2312" w:eastAsia="仿宋_GB2312"/>
          <w:color w:val="000000" w:themeColor="text1"/>
          <w:sz w:val="32"/>
          <w:szCs w:val="32"/>
          <w14:textFill>
            <w14:solidFill>
              <w14:schemeClr w14:val="tx1"/>
            </w14:solidFill>
          </w14:textFill>
        </w:rPr>
        <w:t>，推荐优秀作品参加北京赛区选拔赛，方案如下。</w:t>
      </w:r>
    </w:p>
    <w:p w14:paraId="06FC11DC">
      <w:pPr>
        <w:widowControl/>
        <w:shd w:val="clear" w:color="auto" w:fill="FFFFFF"/>
        <w:adjustRightInd w:val="0"/>
        <w:snapToGrid w:val="0"/>
        <w:spacing w:line="600" w:lineRule="exact"/>
        <w:ind w:firstLine="640" w:firstLineChars="200"/>
        <w:rPr>
          <w:rFonts w:eastAsia="仿宋_GB2312" w:cs="仿宋_GB2312"/>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一、参赛对象与组别</w:t>
      </w:r>
    </w:p>
    <w:p w14:paraId="606BFD63">
      <w:pPr>
        <w:widowControl/>
        <w:shd w:val="clear" w:color="auto" w:fill="FFFFFF"/>
        <w:adjustRightInd w:val="0"/>
        <w:snapToGrid w:val="0"/>
        <w:spacing w:line="600" w:lineRule="exact"/>
        <w:ind w:firstLine="640" w:firstLineChars="200"/>
        <w:rPr>
          <w:rFonts w:hint="default" w:ascii="Times New Roman" w:eastAsia="仿宋_GB2312"/>
          <w:color w:val="000000" w:themeColor="text1"/>
          <w:kern w:val="0"/>
          <w:sz w:val="32"/>
          <w:szCs w:val="32"/>
          <w:lang w:val="en-US" w:eastAsia="zh-CN"/>
          <w14:textFill>
            <w14:solidFill>
              <w14:schemeClr w14:val="tx1"/>
            </w14:solidFill>
          </w14:textFill>
        </w:rPr>
      </w:pPr>
      <w:r>
        <w:rPr>
          <w:rFonts w:hint="eastAsia" w:ascii="Times New Roman" w:eastAsia="仿宋_GB2312"/>
          <w:color w:val="000000" w:themeColor="text1"/>
          <w:kern w:val="0"/>
          <w:sz w:val="32"/>
          <w:szCs w:val="32"/>
          <w14:textFill>
            <w14:solidFill>
              <w14:schemeClr w14:val="tx1"/>
            </w14:solidFill>
          </w14:textFill>
        </w:rPr>
        <w:t>参赛对象为在校学生、在职教师</w:t>
      </w:r>
      <w:r>
        <w:rPr>
          <w:rFonts w:hint="eastAsia" w:eastAsia="仿宋_GB2312"/>
          <w:color w:val="000000" w:themeColor="text1"/>
          <w:kern w:val="0"/>
          <w:sz w:val="32"/>
          <w:szCs w:val="32"/>
          <w:lang w:eastAsia="zh-CN"/>
          <w14:textFill>
            <w14:solidFill>
              <w14:schemeClr w14:val="tx1"/>
            </w14:solidFill>
          </w14:textFill>
        </w:rPr>
        <w:t>、</w:t>
      </w:r>
      <w:r>
        <w:rPr>
          <w:rFonts w:hint="eastAsia" w:eastAsia="仿宋_GB2312"/>
          <w:color w:val="000000" w:themeColor="text1"/>
          <w:kern w:val="0"/>
          <w:sz w:val="32"/>
          <w:szCs w:val="32"/>
          <w:lang w:val="en-US" w:eastAsia="zh-CN"/>
          <w14:textFill>
            <w14:solidFill>
              <w14:schemeClr w14:val="tx1"/>
            </w14:solidFill>
          </w14:textFill>
        </w:rPr>
        <w:t>退休人员</w:t>
      </w:r>
      <w:r>
        <w:rPr>
          <w:rFonts w:hint="eastAsia" w:ascii="Times New Roman" w:eastAsia="仿宋_GB2312"/>
          <w:color w:val="000000" w:themeColor="text1"/>
          <w:kern w:val="0"/>
          <w:sz w:val="32"/>
          <w:szCs w:val="32"/>
          <w14:textFill>
            <w14:solidFill>
              <w14:schemeClr w14:val="tx1"/>
            </w14:solidFill>
          </w14:textFill>
        </w:rPr>
        <w:t>。分为大学生组</w:t>
      </w:r>
      <w:r>
        <w:rPr>
          <w:rFonts w:hint="eastAsia" w:eastAsia="仿宋_GB2312"/>
          <w:color w:val="000000" w:themeColor="text1"/>
          <w:kern w:val="0"/>
          <w:sz w:val="32"/>
          <w:szCs w:val="32"/>
          <w:lang w:eastAsia="zh-CN"/>
          <w14:textFill>
            <w14:solidFill>
              <w14:schemeClr w14:val="tx1"/>
            </w14:solidFill>
          </w14:textFill>
        </w:rPr>
        <w:t>（</w:t>
      </w:r>
      <w:r>
        <w:rPr>
          <w:rFonts w:hint="eastAsia" w:ascii="Times New Roman" w:eastAsia="仿宋_GB2312"/>
          <w:color w:val="000000" w:themeColor="text1"/>
          <w:kern w:val="0"/>
          <w:sz w:val="32"/>
          <w:szCs w:val="32"/>
          <w14:textFill>
            <w14:solidFill>
              <w14:schemeClr w14:val="tx1"/>
            </w14:solidFill>
          </w14:textFill>
        </w:rPr>
        <w:t>含研究生</w:t>
      </w:r>
      <w:r>
        <w:rPr>
          <w:rFonts w:hint="eastAsia" w:eastAsia="仿宋_GB2312"/>
          <w:color w:val="000000" w:themeColor="text1"/>
          <w:kern w:val="0"/>
          <w:sz w:val="32"/>
          <w:szCs w:val="32"/>
          <w:lang w:eastAsia="zh-CN"/>
          <w14:textFill>
            <w14:solidFill>
              <w14:schemeClr w14:val="tx1"/>
            </w14:solidFill>
          </w14:textFill>
        </w:rPr>
        <w:t>）</w:t>
      </w:r>
      <w:r>
        <w:rPr>
          <w:rFonts w:hint="eastAsia" w:ascii="Times New Roman" w:eastAsia="仿宋_GB2312"/>
          <w:color w:val="000000" w:themeColor="text1"/>
          <w:kern w:val="0"/>
          <w:sz w:val="32"/>
          <w:szCs w:val="32"/>
          <w14:textFill>
            <w14:solidFill>
              <w14:schemeClr w14:val="tx1"/>
            </w14:solidFill>
          </w14:textFill>
        </w:rPr>
        <w:t>、留学生组</w:t>
      </w:r>
      <w:r>
        <w:rPr>
          <w:rFonts w:hint="eastAsia" w:eastAsia="仿宋_GB2312"/>
          <w:color w:val="000000" w:themeColor="text1"/>
          <w:kern w:val="0"/>
          <w:sz w:val="32"/>
          <w:szCs w:val="32"/>
          <w:lang w:eastAsia="zh-CN"/>
          <w14:textFill>
            <w14:solidFill>
              <w14:schemeClr w14:val="tx1"/>
            </w14:solidFill>
          </w14:textFill>
        </w:rPr>
        <w:t>（</w:t>
      </w:r>
      <w:r>
        <w:rPr>
          <w:rFonts w:hint="eastAsia" w:eastAsia="仿宋_GB2312"/>
          <w:color w:val="000000" w:themeColor="text1"/>
          <w:kern w:val="0"/>
          <w:sz w:val="32"/>
          <w:szCs w:val="32"/>
          <w:lang w:val="en-US" w:eastAsia="zh-CN"/>
          <w14:textFill>
            <w14:solidFill>
              <w14:schemeClr w14:val="tx1"/>
            </w14:solidFill>
          </w14:textFill>
        </w:rPr>
        <w:t>在华留学生</w:t>
      </w:r>
      <w:r>
        <w:rPr>
          <w:rFonts w:hint="eastAsia" w:eastAsia="仿宋_GB2312"/>
          <w:color w:val="000000" w:themeColor="text1"/>
          <w:kern w:val="0"/>
          <w:sz w:val="32"/>
          <w:szCs w:val="32"/>
          <w:lang w:eastAsia="zh-CN"/>
          <w14:textFill>
            <w14:solidFill>
              <w14:schemeClr w14:val="tx1"/>
            </w14:solidFill>
          </w14:textFill>
        </w:rPr>
        <w:t>）</w:t>
      </w:r>
      <w:r>
        <w:rPr>
          <w:rFonts w:hint="eastAsia" w:ascii="Times New Roman" w:eastAsia="仿宋_GB2312"/>
          <w:color w:val="000000" w:themeColor="text1"/>
          <w:kern w:val="0"/>
          <w:sz w:val="32"/>
          <w:szCs w:val="32"/>
          <w14:textFill>
            <w14:solidFill>
              <w14:schemeClr w14:val="tx1"/>
            </w14:solidFill>
          </w14:textFill>
        </w:rPr>
        <w:t>、教师组</w:t>
      </w:r>
      <w:r>
        <w:rPr>
          <w:rFonts w:hint="eastAsia" w:ascii="Times New Roman" w:hAnsi="Times New Roman" w:eastAsia="仿宋_GB2312" w:cs="Times New Roman"/>
          <w:i w:val="0"/>
          <w:iCs w:val="0"/>
          <w:caps w:val="0"/>
          <w:color w:val="000000" w:themeColor="text1"/>
          <w:spacing w:val="0"/>
          <w:kern w:val="0"/>
          <w:sz w:val="32"/>
          <w:szCs w:val="32"/>
          <w14:textFill>
            <w14:solidFill>
              <w14:schemeClr w14:val="tx1"/>
            </w14:solidFill>
          </w14:textFill>
        </w:rPr>
        <w:t>（含在站博士后</w:t>
      </w:r>
      <w:r>
        <w:rPr>
          <w:rFonts w:hint="eastAsia" w:ascii="Times New Roman" w:hAnsi="Times New Roman" w:eastAsia="仿宋_GB2312" w:cs="Times New Roman"/>
          <w:i w:val="0"/>
          <w:iCs w:val="0"/>
          <w:caps w:val="0"/>
          <w:color w:val="000000" w:themeColor="text1"/>
          <w:spacing w:val="0"/>
          <w:kern w:val="0"/>
          <w:sz w:val="32"/>
          <w:szCs w:val="32"/>
          <w:lang w:eastAsia="zh-CN"/>
          <w14:textFill>
            <w14:solidFill>
              <w14:schemeClr w14:val="tx1"/>
            </w14:solidFill>
          </w14:textFill>
        </w:rPr>
        <w:t>）</w:t>
      </w:r>
      <w:r>
        <w:rPr>
          <w:rFonts w:hint="eastAsia" w:eastAsia="仿宋_GB2312"/>
          <w:color w:val="000000" w:themeColor="text1"/>
          <w:kern w:val="0"/>
          <w:sz w:val="32"/>
          <w:szCs w:val="32"/>
          <w:lang w:eastAsia="zh-CN"/>
          <w14:textFill>
            <w14:solidFill>
              <w14:schemeClr w14:val="tx1"/>
            </w14:solidFill>
          </w14:textFill>
        </w:rPr>
        <w:t>、</w:t>
      </w:r>
      <w:r>
        <w:rPr>
          <w:rFonts w:hint="eastAsia" w:eastAsia="仿宋_GB2312"/>
          <w:color w:val="000000" w:themeColor="text1"/>
          <w:kern w:val="0"/>
          <w:sz w:val="32"/>
          <w:szCs w:val="32"/>
          <w:lang w:val="en-US" w:eastAsia="zh-CN"/>
          <w14:textFill>
            <w14:solidFill>
              <w14:schemeClr w14:val="tx1"/>
            </w14:solidFill>
          </w14:textFill>
        </w:rPr>
        <w:t>社会人员组（鼓励家庭成员组队、鼓励退休人员）</w:t>
      </w:r>
      <w:r>
        <w:rPr>
          <w:rFonts w:hint="eastAsia" w:ascii="Times New Roman" w:eastAsia="仿宋_GB2312"/>
          <w:color w:val="000000" w:themeColor="text1"/>
          <w:kern w:val="0"/>
          <w:sz w:val="32"/>
          <w:szCs w:val="32"/>
          <w14:textFill>
            <w14:solidFill>
              <w14:schemeClr w14:val="tx1"/>
            </w14:solidFill>
          </w14:textFill>
        </w:rPr>
        <w:t>，共</w:t>
      </w:r>
      <w:r>
        <w:rPr>
          <w:rFonts w:hint="eastAsia" w:eastAsia="仿宋_GB2312"/>
          <w:color w:val="000000" w:themeColor="text1"/>
          <w:kern w:val="0"/>
          <w:sz w:val="32"/>
          <w:szCs w:val="32"/>
          <w:lang w:val="en-US" w:eastAsia="zh-CN"/>
          <w14:textFill>
            <w14:solidFill>
              <w14:schemeClr w14:val="tx1"/>
            </w14:solidFill>
          </w14:textFill>
        </w:rPr>
        <w:t>4</w:t>
      </w:r>
      <w:r>
        <w:rPr>
          <w:rFonts w:hint="eastAsia" w:ascii="Times New Roman" w:eastAsia="仿宋_GB2312"/>
          <w:color w:val="000000" w:themeColor="text1"/>
          <w:kern w:val="0"/>
          <w:sz w:val="32"/>
          <w:szCs w:val="32"/>
          <w14:textFill>
            <w14:solidFill>
              <w14:schemeClr w14:val="tx1"/>
            </w14:solidFill>
          </w14:textFill>
        </w:rPr>
        <w:t>个组别。每组可个人参赛，也可</w:t>
      </w:r>
      <w:r>
        <w:rPr>
          <w:rFonts w:hint="eastAsia" w:eastAsia="仿宋_GB2312"/>
          <w:color w:val="000000" w:themeColor="text1"/>
          <w:kern w:val="0"/>
          <w:sz w:val="32"/>
          <w:szCs w:val="32"/>
          <w14:textFill>
            <w14:solidFill>
              <w14:schemeClr w14:val="tx1"/>
            </w14:solidFill>
          </w14:textFill>
        </w:rPr>
        <w:t>2</w:t>
      </w:r>
      <w:r>
        <w:rPr>
          <w:rFonts w:hint="eastAsia" w:ascii="Times New Roman" w:eastAsia="仿宋_GB2312"/>
          <w:color w:val="000000" w:themeColor="text1"/>
          <w:kern w:val="0"/>
          <w:sz w:val="32"/>
          <w:szCs w:val="32"/>
          <w14:textFill>
            <w14:solidFill>
              <w14:schemeClr w14:val="tx1"/>
            </w14:solidFill>
          </w14:textFill>
        </w:rPr>
        <w:t>人</w:t>
      </w:r>
      <w:r>
        <w:rPr>
          <w:rFonts w:hint="eastAsia" w:eastAsia="仿宋_GB2312"/>
          <w:color w:val="000000" w:themeColor="text1"/>
          <w:kern w:val="0"/>
          <w:sz w:val="32"/>
          <w:szCs w:val="32"/>
          <w:lang w:eastAsia="zh-CN"/>
          <w14:textFill>
            <w14:solidFill>
              <w14:schemeClr w14:val="tx1"/>
            </w14:solidFill>
          </w14:textFill>
        </w:rPr>
        <w:t>（</w:t>
      </w:r>
      <w:r>
        <w:rPr>
          <w:rFonts w:hint="eastAsia" w:ascii="Times New Roman" w:eastAsia="仿宋_GB2312"/>
          <w:color w:val="000000" w:themeColor="text1"/>
          <w:kern w:val="0"/>
          <w:sz w:val="32"/>
          <w:szCs w:val="32"/>
          <w14:textFill>
            <w14:solidFill>
              <w14:schemeClr w14:val="tx1"/>
            </w14:solidFill>
          </w14:textFill>
        </w:rPr>
        <w:t>含</w:t>
      </w:r>
      <w:r>
        <w:rPr>
          <w:rFonts w:hint="eastAsia" w:eastAsia="仿宋_GB2312"/>
          <w:color w:val="000000" w:themeColor="text1"/>
          <w:kern w:val="0"/>
          <w:sz w:val="32"/>
          <w:szCs w:val="32"/>
          <w:lang w:eastAsia="zh-CN"/>
          <w14:textFill>
            <w14:solidFill>
              <w14:schemeClr w14:val="tx1"/>
            </w14:solidFill>
          </w14:textFill>
        </w:rPr>
        <w:t>）</w:t>
      </w:r>
      <w:r>
        <w:rPr>
          <w:rFonts w:hint="eastAsia" w:ascii="Times New Roman" w:eastAsia="仿宋_GB2312"/>
          <w:color w:val="000000" w:themeColor="text1"/>
          <w:kern w:val="0"/>
          <w:sz w:val="32"/>
          <w:szCs w:val="32"/>
          <w14:textFill>
            <w14:solidFill>
              <w14:schemeClr w14:val="tx1"/>
            </w14:solidFill>
          </w14:textFill>
        </w:rPr>
        <w:t>以上组成团队参赛。团队参赛过程中人员不得替换、增加。</w:t>
      </w:r>
      <w:r>
        <w:rPr>
          <w:rFonts w:hint="eastAsia" w:eastAsia="仿宋_GB2312"/>
          <w:color w:val="000000" w:themeColor="text1"/>
          <w:kern w:val="0"/>
          <w:sz w:val="32"/>
          <w:szCs w:val="32"/>
          <w:lang w:val="en-US" w:eastAsia="zh-CN"/>
          <w14:textFill>
            <w14:solidFill>
              <w14:schemeClr w14:val="tx1"/>
            </w14:solidFill>
          </w14:textFill>
        </w:rPr>
        <w:t>除社会人员组队外，其他组别</w:t>
      </w:r>
      <w:r>
        <w:rPr>
          <w:rFonts w:hint="eastAsia" w:ascii="Times New Roman" w:eastAsia="仿宋_GB2312"/>
          <w:color w:val="000000" w:themeColor="text1"/>
          <w:kern w:val="0"/>
          <w:sz w:val="32"/>
          <w:szCs w:val="32"/>
          <w14:textFill>
            <w14:solidFill>
              <w14:schemeClr w14:val="tx1"/>
            </w14:solidFill>
          </w14:textFill>
        </w:rPr>
        <w:t>不得跨组参赛。</w:t>
      </w:r>
      <w:r>
        <w:rPr>
          <w:rFonts w:hint="eastAsia" w:eastAsia="仿宋_GB2312"/>
          <w:color w:val="000000" w:themeColor="text1"/>
          <w:kern w:val="0"/>
          <w:sz w:val="32"/>
          <w:szCs w:val="32"/>
          <w:lang w:val="en-US" w:eastAsia="zh-CN"/>
          <w14:textFill>
            <w14:solidFill>
              <w14:schemeClr w14:val="tx1"/>
            </w14:solidFill>
          </w14:textFill>
        </w:rPr>
        <w:t>每人最多只能参与1个诵读作品。社会人员组至少有1名社会人员。</w:t>
      </w:r>
    </w:p>
    <w:p w14:paraId="11AFC9FB">
      <w:pPr>
        <w:widowControl/>
        <w:shd w:val="clear" w:color="auto" w:fill="FFFFFF"/>
        <w:adjustRightInd w:val="0"/>
        <w:snapToGrid w:val="0"/>
        <w:spacing w:line="600" w:lineRule="exact"/>
        <w:ind w:firstLine="640" w:firstLineChars="200"/>
        <w:rPr>
          <w:rFonts w:eastAsia="黑体" w:cs="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二、参赛要求</w:t>
      </w:r>
    </w:p>
    <w:p w14:paraId="65CDA15A">
      <w:pPr>
        <w:widowControl/>
        <w:shd w:val="clear" w:color="auto" w:fill="FFFFFF"/>
        <w:adjustRightInd w:val="0"/>
        <w:snapToGrid w:val="0"/>
        <w:spacing w:line="600" w:lineRule="exact"/>
        <w:ind w:firstLine="640" w:firstLineChars="200"/>
        <w:rPr>
          <w:rFonts w:eastAsia="仿宋_GB2312" w:cs="仿宋_GB2312"/>
          <w:color w:val="000000" w:themeColor="text1"/>
          <w:kern w:val="0"/>
          <w:sz w:val="32"/>
          <w:szCs w:val="32"/>
          <w14:textFill>
            <w14:solidFill>
              <w14:schemeClr w14:val="tx1"/>
            </w14:solidFill>
          </w14:textFill>
        </w:rPr>
      </w:pPr>
      <w:r>
        <w:rPr>
          <w:rFonts w:hint="eastAsia" w:ascii="楷体" w:hAnsi="楷体" w:eastAsia="楷体"/>
          <w:color w:val="000000" w:themeColor="text1"/>
          <w:kern w:val="0"/>
          <w:sz w:val="32"/>
          <w:szCs w:val="32"/>
          <w14:textFill>
            <w14:solidFill>
              <w14:schemeClr w14:val="tx1"/>
            </w14:solidFill>
          </w14:textFill>
        </w:rPr>
        <w:t>（一）内容要求</w:t>
      </w:r>
    </w:p>
    <w:p w14:paraId="5516430C">
      <w:pPr>
        <w:widowControl/>
        <w:shd w:val="clear" w:color="auto" w:fill="FFFFFF"/>
        <w:adjustRightInd w:val="0"/>
        <w:snapToGrid w:val="0"/>
        <w:spacing w:line="600" w:lineRule="exact"/>
        <w:ind w:firstLine="640" w:firstLineChars="200"/>
        <w:rPr>
          <w:rFonts w:hint="eastAsia" w:ascii="仿宋_GB2312" w:eastAsia="仿宋_GB2312"/>
          <w:color w:val="000000" w:themeColor="text1"/>
          <w:kern w:val="0"/>
          <w:sz w:val="32"/>
          <w:szCs w:val="32"/>
          <w14:textFill>
            <w14:solidFill>
              <w14:schemeClr w14:val="tx1"/>
            </w14:solidFill>
          </w14:textFill>
        </w:rPr>
      </w:pPr>
      <w:r>
        <w:rPr>
          <w:rFonts w:hint="eastAsia" w:ascii="仿宋_GB2312" w:eastAsia="仿宋_GB2312"/>
          <w:color w:val="000000" w:themeColor="text1"/>
          <w:kern w:val="0"/>
          <w:sz w:val="32"/>
          <w:szCs w:val="32"/>
          <w14:textFill>
            <w14:solidFill>
              <w14:schemeClr w14:val="tx1"/>
            </w14:solidFill>
          </w14:textFill>
        </w:rPr>
        <w:t>我国古代、近现代和当代有社会影响力和典范价值的，体现中华优秀文化的经典诗词、文章、优秀图书内容节选，以及各级非物质文化遗产代表性项目名录中的民间文学类项目。当代作品应已正式出版或由省级以上广播电视等主流媒体公开发布或发表，出版、发表时间2年以上并被广泛传播。诵读文本主体前后可根据需要增加总计不超过200字的过渡语（计入总时长）。改编、网络以及自创文本不在征集之列。</w:t>
      </w:r>
    </w:p>
    <w:p w14:paraId="5C72FBEF">
      <w:pPr>
        <w:widowControl/>
        <w:shd w:val="clear" w:color="auto" w:fill="FFFFFF"/>
        <w:adjustRightInd w:val="0"/>
        <w:snapToGrid w:val="0"/>
        <w:spacing w:line="600" w:lineRule="exact"/>
        <w:ind w:firstLine="640" w:firstLineChars="200"/>
        <w:rPr>
          <w:rFonts w:eastAsia="楷体" w:cs="楷体"/>
          <w:color w:val="000000" w:themeColor="text1"/>
          <w:kern w:val="0"/>
          <w:sz w:val="32"/>
          <w:szCs w:val="32"/>
          <w14:textFill>
            <w14:solidFill>
              <w14:schemeClr w14:val="tx1"/>
            </w14:solidFill>
          </w14:textFill>
        </w:rPr>
      </w:pPr>
      <w:r>
        <w:rPr>
          <w:rFonts w:hint="eastAsia" w:ascii="楷体" w:hAnsi="楷体" w:eastAsia="楷体"/>
          <w:color w:val="000000" w:themeColor="text1"/>
          <w:kern w:val="0"/>
          <w:sz w:val="32"/>
          <w:szCs w:val="32"/>
          <w14:textFill>
            <w14:solidFill>
              <w14:schemeClr w14:val="tx1"/>
            </w14:solidFill>
          </w14:textFill>
        </w:rPr>
        <w:t>（二）形式要求</w:t>
      </w:r>
    </w:p>
    <w:p w14:paraId="50AEA502">
      <w:pPr>
        <w:widowControl/>
        <w:shd w:val="clear" w:color="auto" w:fill="FFFFFF"/>
        <w:adjustRightInd w:val="0"/>
        <w:snapToGrid w:val="0"/>
        <w:spacing w:line="600" w:lineRule="exact"/>
        <w:ind w:firstLine="640" w:firstLineChars="200"/>
        <w:rPr>
          <w:rFonts w:hint="default" w:eastAsia="仿宋_GB2312" w:cs="仿宋_GB2312"/>
          <w:color w:val="000000" w:themeColor="text1"/>
          <w:kern w:val="0"/>
          <w:sz w:val="32"/>
          <w:szCs w:val="32"/>
          <w:lang w:val="en-US" w:eastAsia="zh-CN"/>
          <w14:textFill>
            <w14:solidFill>
              <w14:schemeClr w14:val="tx1"/>
            </w14:solidFill>
          </w14:textFill>
        </w:rPr>
      </w:pPr>
      <w:r>
        <w:rPr>
          <w:rFonts w:hint="eastAsia" w:ascii="Times New Roman" w:eastAsia="仿宋_GB2312"/>
          <w:color w:val="000000" w:themeColor="text1"/>
          <w:kern w:val="0"/>
          <w:sz w:val="32"/>
          <w:szCs w:val="32"/>
          <w14:textFill>
            <w14:solidFill>
              <w14:schemeClr w14:val="tx1"/>
            </w14:solidFill>
          </w14:textFill>
        </w:rPr>
        <w:t>参赛作品要求为</w:t>
      </w:r>
      <w:r>
        <w:rPr>
          <w:rFonts w:eastAsia="仿宋_GB2312"/>
          <w:color w:val="000000" w:themeColor="text1"/>
          <w:kern w:val="0"/>
          <w:sz w:val="32"/>
          <w:szCs w:val="32"/>
          <w14:textFill>
            <w14:solidFill>
              <w14:schemeClr w14:val="tx1"/>
            </w14:solidFill>
          </w14:textFill>
        </w:rPr>
        <w:t>202</w:t>
      </w:r>
      <w:r>
        <w:rPr>
          <w:rFonts w:hint="eastAsia" w:eastAsia="仿宋_GB2312"/>
          <w:color w:val="000000" w:themeColor="text1"/>
          <w:kern w:val="0"/>
          <w:sz w:val="32"/>
          <w:szCs w:val="32"/>
          <w:lang w:val="en-US" w:eastAsia="zh-CN"/>
          <w14:textFill>
            <w14:solidFill>
              <w14:schemeClr w14:val="tx1"/>
            </w14:solidFill>
          </w14:textFill>
        </w:rPr>
        <w:t>6</w:t>
      </w:r>
      <w:r>
        <w:rPr>
          <w:rFonts w:ascii="Times New Roman" w:eastAsia="仿宋_GB2312" w:cs="仿宋_GB2312"/>
          <w:color w:val="000000" w:themeColor="text1"/>
          <w:kern w:val="0"/>
          <w:sz w:val="32"/>
          <w:szCs w:val="32"/>
          <w14:textFill>
            <w14:solidFill>
              <w14:schemeClr w14:val="tx1"/>
            </w14:solidFill>
          </w14:textFill>
        </w:rPr>
        <w:t>年新</w:t>
      </w:r>
      <w:r>
        <w:rPr>
          <w:rFonts w:hint="eastAsia" w:ascii="Times New Roman" w:eastAsia="仿宋_GB2312"/>
          <w:color w:val="000000" w:themeColor="text1"/>
          <w:kern w:val="0"/>
          <w:sz w:val="32"/>
          <w:szCs w:val="32"/>
          <w14:textFill>
            <w14:solidFill>
              <w14:schemeClr w14:val="tx1"/>
            </w14:solidFill>
          </w14:textFill>
        </w:rPr>
        <w:t>录制</w:t>
      </w:r>
      <w:r>
        <w:rPr>
          <w:rFonts w:ascii="Times New Roman" w:eastAsia="仿宋_GB2312" w:cs="仿宋_GB2312"/>
          <w:color w:val="000000" w:themeColor="text1"/>
          <w:kern w:val="0"/>
          <w:sz w:val="32"/>
          <w:szCs w:val="32"/>
          <w14:textFill>
            <w14:solidFill>
              <w14:schemeClr w14:val="tx1"/>
            </w14:solidFill>
          </w14:textFill>
        </w:rPr>
        <w:t>创作的视频</w:t>
      </w:r>
      <w:r>
        <w:rPr>
          <w:rFonts w:hint="eastAsia" w:ascii="Times New Roman" w:eastAsia="仿宋_GB2312"/>
          <w:color w:val="000000" w:themeColor="text1"/>
          <w:kern w:val="0"/>
          <w:sz w:val="32"/>
          <w:szCs w:val="32"/>
          <w14:textFill>
            <w14:solidFill>
              <w14:schemeClr w14:val="tx1"/>
            </w14:solidFill>
          </w14:textFill>
        </w:rPr>
        <w:t>，高清</w:t>
      </w:r>
      <w:r>
        <w:rPr>
          <w:rFonts w:eastAsia="仿宋_GB2312"/>
          <w:color w:val="000000" w:themeColor="text1"/>
          <w:kern w:val="0"/>
          <w:sz w:val="32"/>
          <w:szCs w:val="32"/>
          <w14:textFill>
            <w14:solidFill>
              <w14:schemeClr w14:val="tx1"/>
            </w14:solidFill>
          </w14:textFill>
        </w:rPr>
        <w:t>1920*1080</w:t>
      </w:r>
      <w:r>
        <w:rPr>
          <w:rFonts w:ascii="Times New Roman" w:eastAsia="仿宋_GB2312" w:cs="仿宋_GB2312"/>
          <w:color w:val="000000" w:themeColor="text1"/>
          <w:kern w:val="0"/>
          <w:sz w:val="32"/>
          <w:szCs w:val="32"/>
          <w14:textFill>
            <w14:solidFill>
              <w14:schemeClr w14:val="tx1"/>
            </w14:solidFill>
          </w14:textFill>
        </w:rPr>
        <w:t>横屏拍摄</w:t>
      </w:r>
      <w:r>
        <w:rPr>
          <w:rFonts w:hint="eastAsia" w:ascii="Times New Roman" w:eastAsia="仿宋_GB2312"/>
          <w:color w:val="000000" w:themeColor="text1"/>
          <w:kern w:val="0"/>
          <w:sz w:val="32"/>
          <w:szCs w:val="32"/>
          <w14:textFill>
            <w14:solidFill>
              <w14:schemeClr w14:val="tx1"/>
            </w14:solidFill>
          </w14:textFill>
        </w:rPr>
        <w:t>，</w:t>
      </w:r>
      <w:r>
        <w:rPr>
          <w:rFonts w:ascii="Times New Roman" w:eastAsia="仿宋_GB2312" w:cs="仿宋_GB2312"/>
          <w:color w:val="000000" w:themeColor="text1"/>
          <w:kern w:val="0"/>
          <w:sz w:val="32"/>
          <w:szCs w:val="32"/>
          <w14:textFill>
            <w14:solidFill>
              <w14:schemeClr w14:val="tx1"/>
            </w14:solidFill>
          </w14:textFill>
        </w:rPr>
        <w:t>格式</w:t>
      </w:r>
      <w:r>
        <w:rPr>
          <w:rFonts w:hint="eastAsia" w:ascii="Times New Roman" w:eastAsia="仿宋_GB2312"/>
          <w:color w:val="000000" w:themeColor="text1"/>
          <w:kern w:val="0"/>
          <w:sz w:val="32"/>
          <w:szCs w:val="32"/>
          <w14:textFill>
            <w14:solidFill>
              <w14:schemeClr w14:val="tx1"/>
            </w14:solidFill>
          </w14:textFill>
        </w:rPr>
        <w:t>为</w:t>
      </w:r>
      <w:r>
        <w:rPr>
          <w:rFonts w:eastAsia="仿宋_GB2312"/>
          <w:color w:val="000000" w:themeColor="text1"/>
          <w:kern w:val="0"/>
          <w:sz w:val="32"/>
          <w:szCs w:val="32"/>
          <w14:textFill>
            <w14:solidFill>
              <w14:schemeClr w14:val="tx1"/>
            </w14:solidFill>
          </w14:textFill>
        </w:rPr>
        <w:t>MP4</w:t>
      </w:r>
      <w:r>
        <w:rPr>
          <w:rFonts w:hint="eastAsia" w:ascii="Times New Roman" w:eastAsia="仿宋_GB2312"/>
          <w:color w:val="000000" w:themeColor="text1"/>
          <w:kern w:val="0"/>
          <w:sz w:val="32"/>
          <w:szCs w:val="32"/>
          <w14:textFill>
            <w14:solidFill>
              <w14:schemeClr w14:val="tx1"/>
            </w14:solidFill>
          </w14:textFill>
        </w:rPr>
        <w:t>，长度为</w:t>
      </w:r>
      <w:r>
        <w:rPr>
          <w:rFonts w:eastAsia="仿宋_GB2312"/>
          <w:color w:val="000000" w:themeColor="text1"/>
          <w:kern w:val="0"/>
          <w:sz w:val="32"/>
          <w:szCs w:val="32"/>
          <w14:textFill>
            <w14:solidFill>
              <w14:schemeClr w14:val="tx1"/>
            </w14:solidFill>
          </w14:textFill>
        </w:rPr>
        <w:t>3</w:t>
      </w:r>
      <w:r>
        <w:rPr>
          <w:rFonts w:hint="eastAsia" w:eastAsia="仿宋_GB2312"/>
          <w:bCs/>
          <w:color w:val="000000" w:themeColor="text1"/>
          <w:sz w:val="32"/>
          <w:szCs w:val="32"/>
          <w:lang w:val="en-US" w:eastAsia="zh-CN"/>
          <w14:textFill>
            <w14:solidFill>
              <w14:schemeClr w14:val="tx1"/>
            </w14:solidFill>
          </w14:textFill>
        </w:rPr>
        <w:t>—</w:t>
      </w:r>
      <w:r>
        <w:rPr>
          <w:rFonts w:eastAsia="仿宋_GB2312"/>
          <w:color w:val="000000" w:themeColor="text1"/>
          <w:kern w:val="0"/>
          <w:sz w:val="32"/>
          <w:szCs w:val="32"/>
          <w14:textFill>
            <w14:solidFill>
              <w14:schemeClr w14:val="tx1"/>
            </w14:solidFill>
          </w14:textFill>
        </w:rPr>
        <w:t>6</w:t>
      </w:r>
      <w:r>
        <w:rPr>
          <w:rFonts w:ascii="Times New Roman" w:eastAsia="仿宋_GB2312" w:cs="仿宋_GB2312"/>
          <w:color w:val="000000" w:themeColor="text1"/>
          <w:kern w:val="0"/>
          <w:sz w:val="32"/>
          <w:szCs w:val="32"/>
          <w14:textFill>
            <w14:solidFill>
              <w14:schemeClr w14:val="tx1"/>
            </w14:solidFill>
          </w14:textFill>
        </w:rPr>
        <w:t>分钟，大小不超过</w:t>
      </w:r>
      <w:r>
        <w:rPr>
          <w:rFonts w:eastAsia="仿宋_GB2312"/>
          <w:color w:val="000000" w:themeColor="text1"/>
          <w:kern w:val="0"/>
          <w:sz w:val="32"/>
          <w:szCs w:val="32"/>
          <w14:textFill>
            <w14:solidFill>
              <w14:schemeClr w14:val="tx1"/>
            </w14:solidFill>
          </w14:textFill>
        </w:rPr>
        <w:t>700MB</w:t>
      </w:r>
      <w:r>
        <w:rPr>
          <w:rFonts w:hint="eastAsia" w:ascii="Times New Roman" w:eastAsia="仿宋_GB2312"/>
          <w:color w:val="000000" w:themeColor="text1"/>
          <w:kern w:val="0"/>
          <w:sz w:val="32"/>
          <w:szCs w:val="32"/>
          <w14:textFill>
            <w14:solidFill>
              <w14:schemeClr w14:val="tx1"/>
            </w14:solidFill>
          </w14:textFill>
        </w:rPr>
        <w:t>，图像、声音清晰，不抖动、无噪音</w:t>
      </w:r>
      <w:r>
        <w:rPr>
          <w:rFonts w:ascii="Times New Roman" w:eastAsia="仿宋_GB2312" w:cs="仿宋_GB2312"/>
          <w:color w:val="000000" w:themeColor="text1"/>
          <w:kern w:val="0"/>
          <w:sz w:val="32"/>
          <w:szCs w:val="32"/>
          <w14:textFill>
            <w14:solidFill>
              <w14:schemeClr w14:val="tx1"/>
            </w14:solidFill>
          </w14:textFill>
        </w:rPr>
        <w:t>。</w:t>
      </w:r>
      <w:r>
        <w:rPr>
          <w:rFonts w:hint="eastAsia" w:ascii="Times New Roman" w:eastAsia="仿宋_GB2312"/>
          <w:color w:val="000000" w:themeColor="text1"/>
          <w:kern w:val="0"/>
          <w:sz w:val="32"/>
          <w:szCs w:val="32"/>
          <w14:textFill>
            <w14:solidFill>
              <w14:schemeClr w14:val="tx1"/>
            </w14:solidFill>
          </w14:textFill>
        </w:rPr>
        <w:t>视频作品必须同期录音，不得后期配音</w:t>
      </w:r>
      <w:r>
        <w:rPr>
          <w:rFonts w:hint="eastAsia" w:eastAsia="仿宋_GB2312"/>
          <w:color w:val="000000" w:themeColor="text1"/>
          <w:kern w:val="0"/>
          <w:sz w:val="32"/>
          <w:szCs w:val="32"/>
          <w:lang w:eastAsia="zh-CN"/>
          <w14:textFill>
            <w14:solidFill>
              <w14:schemeClr w14:val="tx1"/>
            </w14:solidFill>
          </w14:textFill>
        </w:rPr>
        <w:t>、</w:t>
      </w:r>
      <w:r>
        <w:rPr>
          <w:rFonts w:hint="eastAsia" w:eastAsia="仿宋_GB2312"/>
          <w:color w:val="000000" w:themeColor="text1"/>
          <w:kern w:val="0"/>
          <w:sz w:val="32"/>
          <w:szCs w:val="32"/>
          <w:lang w:val="en-US" w:eastAsia="zh-CN"/>
          <w14:textFill>
            <w14:solidFill>
              <w14:schemeClr w14:val="tx1"/>
            </w14:solidFill>
          </w14:textFill>
        </w:rPr>
        <w:t>修音</w:t>
      </w:r>
      <w:r>
        <w:rPr>
          <w:rFonts w:hint="eastAsia" w:ascii="Times New Roman" w:eastAsia="仿宋_GB2312"/>
          <w:color w:val="000000" w:themeColor="text1"/>
          <w:kern w:val="0"/>
          <w:sz w:val="32"/>
          <w:szCs w:val="32"/>
          <w14:textFill>
            <w14:solidFill>
              <w14:schemeClr w14:val="tx1"/>
            </w14:solidFill>
          </w14:textFill>
        </w:rPr>
        <w:t>。</w:t>
      </w:r>
      <w:r>
        <w:rPr>
          <w:rFonts w:hint="eastAsia" w:eastAsia="仿宋_GB2312"/>
          <w:color w:val="000000" w:themeColor="text1"/>
          <w:kern w:val="0"/>
          <w:sz w:val="32"/>
          <w:szCs w:val="32"/>
          <w:lang w:val="en-US" w:eastAsia="zh-CN"/>
          <w14:textFill>
            <w14:solidFill>
              <w14:schemeClr w14:val="tx1"/>
            </w14:solidFill>
          </w14:textFill>
        </w:rPr>
        <w:t>录制仅限一个场地，不得切换多个场地。</w:t>
      </w:r>
    </w:p>
    <w:p w14:paraId="494D1965">
      <w:pPr>
        <w:widowControl/>
        <w:shd w:val="clear" w:color="auto" w:fill="FFFFFF"/>
        <w:adjustRightInd w:val="0"/>
        <w:snapToGrid w:val="0"/>
        <w:spacing w:line="600" w:lineRule="exact"/>
        <w:ind w:firstLine="640" w:firstLineChars="200"/>
        <w:rPr>
          <w:rFonts w:hint="default" w:eastAsia="仿宋_GB2312" w:cs="仿宋_GB2312"/>
          <w:color w:val="000000" w:themeColor="text1"/>
          <w:kern w:val="0"/>
          <w:sz w:val="32"/>
          <w:szCs w:val="32"/>
          <w:lang w:val="en-US" w:eastAsia="zh-CN"/>
          <w14:textFill>
            <w14:solidFill>
              <w14:schemeClr w14:val="tx1"/>
            </w14:solidFill>
          </w14:textFill>
        </w:rPr>
      </w:pPr>
      <w:r>
        <w:rPr>
          <w:rFonts w:hint="eastAsia" w:eastAsia="仿宋_GB2312"/>
          <w:color w:val="000000" w:themeColor="text1"/>
          <w:kern w:val="0"/>
          <w:sz w:val="32"/>
          <w:szCs w:val="32"/>
          <w14:textFill>
            <w14:solidFill>
              <w14:schemeClr w14:val="tx1"/>
            </w14:solidFill>
          </w14:textFill>
        </w:rPr>
        <w:t>视频开头以文字方式展示作品名称、原文作者、参赛组别，不得出现参赛者姓名、学校、指导教师及所在地等信息。视频文字须使用规范汉字，建议使用方正字库字体或其他有版权的字体。视频中不得使用未经肖像权人同意的肖像，不得使用未经授权的图片、视频和音频，应使用正确表示国家版图的地图，不得出现与诵读大赛无关的条幅、角标等。</w:t>
      </w:r>
    </w:p>
    <w:p w14:paraId="696536A9">
      <w:pPr>
        <w:widowControl/>
        <w:shd w:val="clear" w:color="auto" w:fill="FFFFFF"/>
        <w:adjustRightInd w:val="0"/>
        <w:snapToGrid w:val="0"/>
        <w:spacing w:line="600" w:lineRule="exact"/>
        <w:ind w:firstLine="640" w:firstLineChars="200"/>
        <w:rPr>
          <w:rFonts w:eastAsia="楷体" w:cs="楷体"/>
          <w:color w:val="000000" w:themeColor="text1"/>
          <w:kern w:val="0"/>
          <w:sz w:val="32"/>
          <w:szCs w:val="32"/>
          <w14:textFill>
            <w14:solidFill>
              <w14:schemeClr w14:val="tx1"/>
            </w14:solidFill>
          </w14:textFill>
        </w:rPr>
      </w:pPr>
      <w:r>
        <w:rPr>
          <w:rFonts w:hint="eastAsia" w:ascii="楷体" w:hAnsi="楷体" w:eastAsia="楷体"/>
          <w:color w:val="000000" w:themeColor="text1"/>
          <w:kern w:val="0"/>
          <w:sz w:val="32"/>
          <w:szCs w:val="32"/>
          <w14:textFill>
            <w14:solidFill>
              <w14:schemeClr w14:val="tx1"/>
            </w14:solidFill>
          </w14:textFill>
        </w:rPr>
        <w:t>（三）其他要求</w:t>
      </w:r>
    </w:p>
    <w:p w14:paraId="52E2430F">
      <w:pPr>
        <w:widowControl/>
        <w:shd w:val="clear" w:color="auto" w:fill="FFFFFF"/>
        <w:adjustRightInd w:val="0"/>
        <w:snapToGrid w:val="0"/>
        <w:spacing w:line="600" w:lineRule="exact"/>
        <w:ind w:firstLine="640" w:firstLineChars="200"/>
        <w:rPr>
          <w:rFonts w:eastAsia="仿宋_GB2312" w:cs="仿宋_GB2312"/>
          <w:color w:val="000000" w:themeColor="text1"/>
          <w:kern w:val="0"/>
          <w:sz w:val="32"/>
          <w:szCs w:val="32"/>
          <w14:textFill>
            <w14:solidFill>
              <w14:schemeClr w14:val="tx1"/>
            </w14:solidFill>
          </w14:textFill>
        </w:rPr>
      </w:pPr>
      <w:r>
        <w:rPr>
          <w:rFonts w:hint="eastAsia" w:ascii="仿宋_GB2312" w:hAnsi="Times New Roman" w:eastAsia="仿宋_GB2312" w:cs="Times New Roman"/>
          <w:i w:val="0"/>
          <w:iCs w:val="0"/>
          <w:caps w:val="0"/>
          <w:color w:val="000000" w:themeColor="text1"/>
          <w:spacing w:val="0"/>
          <w:kern w:val="0"/>
          <w:sz w:val="32"/>
          <w:szCs w:val="32"/>
          <w14:textFill>
            <w14:solidFill>
              <w14:schemeClr w14:val="tx1"/>
            </w14:solidFill>
          </w14:textFill>
        </w:rPr>
        <w:t>诵读须使用普通话，</w:t>
      </w:r>
      <w:r>
        <w:rPr>
          <w:rFonts w:hint="eastAsia" w:ascii="仿宋_GB2312" w:eastAsia="仿宋_GB2312"/>
          <w:color w:val="000000" w:themeColor="text1"/>
          <w:kern w:val="0"/>
          <w:sz w:val="32"/>
          <w:szCs w:val="32"/>
          <w:lang w:val="en-US" w:eastAsia="zh-CN"/>
          <w14:textFill>
            <w14:solidFill>
              <w14:schemeClr w14:val="tx1"/>
            </w14:solidFill>
          </w14:textFill>
        </w:rPr>
        <w:t>在以诵读为主的基础上，</w:t>
      </w:r>
      <w:r>
        <w:rPr>
          <w:rFonts w:hint="eastAsia" w:ascii="仿宋_GB2312" w:eastAsia="仿宋_GB2312"/>
          <w:color w:val="000000" w:themeColor="text1"/>
          <w:kern w:val="0"/>
          <w:sz w:val="32"/>
          <w:szCs w:val="32"/>
          <w14:textFill>
            <w14:solidFill>
              <w14:schemeClr w14:val="tx1"/>
            </w14:solidFill>
          </w14:textFill>
        </w:rPr>
        <w:t>作品可</w:t>
      </w:r>
      <w:r>
        <w:rPr>
          <w:rFonts w:hint="eastAsia" w:ascii="仿宋_GB2312" w:eastAsia="仿宋_GB2312"/>
          <w:color w:val="000000" w:themeColor="text1"/>
          <w:kern w:val="0"/>
          <w:sz w:val="32"/>
          <w:szCs w:val="32"/>
          <w:lang w:val="en-US" w:eastAsia="zh-CN"/>
          <w14:textFill>
            <w14:solidFill>
              <w14:schemeClr w14:val="tx1"/>
            </w14:solidFill>
          </w14:textFill>
        </w:rPr>
        <w:t>适当</w:t>
      </w:r>
      <w:r>
        <w:rPr>
          <w:rFonts w:hint="eastAsia" w:ascii="仿宋_GB2312" w:eastAsia="仿宋_GB2312"/>
          <w:color w:val="000000" w:themeColor="text1"/>
          <w:kern w:val="0"/>
          <w:sz w:val="32"/>
          <w:szCs w:val="32"/>
          <w14:textFill>
            <w14:solidFill>
              <w14:schemeClr w14:val="tx1"/>
            </w14:solidFill>
          </w14:textFill>
        </w:rPr>
        <w:t>借助</w:t>
      </w:r>
      <w:r>
        <w:rPr>
          <w:rFonts w:hint="eastAsia" w:ascii="仿宋_GB2312" w:eastAsia="仿宋_GB2312"/>
          <w:color w:val="000000" w:themeColor="text1"/>
          <w:kern w:val="0"/>
          <w:sz w:val="32"/>
          <w:szCs w:val="32"/>
          <w:lang w:val="en-US" w:eastAsia="zh-CN"/>
          <w14:textFill>
            <w14:solidFill>
              <w14:schemeClr w14:val="tx1"/>
            </w14:solidFill>
          </w14:textFill>
        </w:rPr>
        <w:t>吟诵、</w:t>
      </w:r>
      <w:r>
        <w:rPr>
          <w:rFonts w:hint="eastAsia" w:ascii="仿宋_GB2312" w:eastAsia="仿宋_GB2312"/>
          <w:color w:val="000000" w:themeColor="text1"/>
          <w:kern w:val="0"/>
          <w:sz w:val="32"/>
          <w:szCs w:val="32"/>
          <w14:textFill>
            <w14:solidFill>
              <w14:schemeClr w14:val="tx1"/>
            </w14:solidFill>
          </w14:textFill>
        </w:rPr>
        <w:t>音乐、服装等手段融合展现诵读内容。鼓励展现地域、民族语言文化的作品。鼓励以团队形式诵读，团队人数不超过</w:t>
      </w:r>
      <w:r>
        <w:rPr>
          <w:rFonts w:hint="eastAsia" w:eastAsia="仿宋_GB2312"/>
          <w:color w:val="000000" w:themeColor="text1"/>
          <w:kern w:val="0"/>
          <w:sz w:val="32"/>
          <w:szCs w:val="32"/>
          <w14:textFill>
            <w14:solidFill>
              <w14:schemeClr w14:val="tx1"/>
            </w14:solidFill>
          </w14:textFill>
        </w:rPr>
        <w:t>20</w:t>
      </w:r>
      <w:r>
        <w:rPr>
          <w:rFonts w:hint="eastAsia" w:ascii="仿宋_GB2312" w:eastAsia="仿宋_GB2312"/>
          <w:color w:val="000000" w:themeColor="text1"/>
          <w:kern w:val="0"/>
          <w:sz w:val="32"/>
          <w:szCs w:val="32"/>
          <w14:textFill>
            <w14:solidFill>
              <w14:schemeClr w14:val="tx1"/>
            </w14:solidFill>
          </w14:textFill>
        </w:rPr>
        <w:t>人。</w:t>
      </w:r>
    </w:p>
    <w:p w14:paraId="53388388">
      <w:pPr>
        <w:widowControl/>
        <w:shd w:val="clear" w:color="auto" w:fill="FFFFFF"/>
        <w:adjustRightInd w:val="0"/>
        <w:snapToGrid w:val="0"/>
        <w:spacing w:line="600" w:lineRule="exact"/>
        <w:ind w:firstLine="640" w:firstLineChars="200"/>
        <w:rPr>
          <w:rFonts w:hint="eastAsia" w:eastAsia="仿宋_GB2312"/>
          <w:sz w:val="32"/>
          <w:szCs w:val="32"/>
        </w:rPr>
      </w:pPr>
      <w:r>
        <w:rPr>
          <w:rFonts w:hint="eastAsia" w:ascii="仿宋_GB2312" w:hAnsi="Times New Roman" w:eastAsia="仿宋_GB2312" w:cs="Times New Roman"/>
          <w:i w:val="0"/>
          <w:iCs w:val="0"/>
          <w:caps w:val="0"/>
          <w:color w:val="000000" w:themeColor="text1"/>
          <w:spacing w:val="0"/>
          <w:kern w:val="0"/>
          <w:sz w:val="32"/>
          <w:szCs w:val="32"/>
          <w14:textFill>
            <w14:solidFill>
              <w14:schemeClr w14:val="tx1"/>
            </w14:solidFill>
          </w14:textFill>
        </w:rPr>
        <w:t>诵读作品的参赛者仅限诵读人员，伴奏、摄像等人员均不作为参赛者。每位参赛者最多可参与个人和团队诵读作品各1件。</w:t>
      </w:r>
      <w:r>
        <w:rPr>
          <w:rFonts w:hint="eastAsia" w:ascii="仿宋_GB2312" w:eastAsia="仿宋_GB2312"/>
          <w:color w:val="000000" w:themeColor="text1"/>
          <w:kern w:val="0"/>
          <w:sz w:val="32"/>
          <w:szCs w:val="32"/>
          <w14:textFill>
            <w14:solidFill>
              <w14:schemeClr w14:val="tx1"/>
            </w14:solidFill>
          </w14:textFill>
        </w:rPr>
        <w:t>每个作品指导教师不超过</w:t>
      </w:r>
      <w:r>
        <w:rPr>
          <w:rFonts w:hint="eastAsia" w:eastAsia="仿宋_GB2312"/>
          <w:color w:val="000000" w:themeColor="text1"/>
          <w:kern w:val="0"/>
          <w:sz w:val="32"/>
          <w:szCs w:val="32"/>
          <w14:textFill>
            <w14:solidFill>
              <w14:schemeClr w14:val="tx1"/>
            </w14:solidFill>
          </w14:textFill>
        </w:rPr>
        <w:t>2</w:t>
      </w:r>
      <w:r>
        <w:rPr>
          <w:rFonts w:hint="eastAsia" w:ascii="仿宋_GB2312" w:eastAsia="仿宋_GB2312"/>
          <w:color w:val="000000" w:themeColor="text1"/>
          <w:kern w:val="0"/>
          <w:sz w:val="32"/>
          <w:szCs w:val="32"/>
          <w14:textFill>
            <w14:solidFill>
              <w14:schemeClr w14:val="tx1"/>
            </w14:solidFill>
          </w14:textFill>
        </w:rPr>
        <w:t>人，同一作品的参赛者不得同时署名该作品的指导教师。</w:t>
      </w:r>
      <w:r>
        <w:rPr>
          <w:rFonts w:hint="eastAsia" w:eastAsia="仿宋_GB2312"/>
          <w:sz w:val="32"/>
          <w:szCs w:val="32"/>
        </w:rPr>
        <w:t>指导教师应当具备相应的专业能力，能为参赛者提供专业指导。</w:t>
      </w:r>
    </w:p>
    <w:p w14:paraId="532BA8B9">
      <w:pPr>
        <w:widowControl/>
        <w:shd w:val="clear" w:color="auto" w:fill="FFFFFF"/>
        <w:adjustRightInd w:val="0"/>
        <w:snapToGrid w:val="0"/>
        <w:spacing w:line="600" w:lineRule="exact"/>
        <w:ind w:firstLine="640" w:firstLineChars="200"/>
        <w:rPr>
          <w:rFonts w:hint="eastAsia" w:ascii="仿宋_GB2312" w:eastAsia="仿宋_GB2312"/>
          <w:b w:val="0"/>
          <w:bCs w:val="0"/>
          <w:color w:val="000000" w:themeColor="text1"/>
          <w:kern w:val="0"/>
          <w:sz w:val="32"/>
          <w:szCs w:val="32"/>
          <w:lang w:val="en-US" w:eastAsia="zh-CN"/>
          <w14:textFill>
            <w14:solidFill>
              <w14:schemeClr w14:val="tx1"/>
            </w14:solidFill>
          </w14:textFill>
        </w:rPr>
      </w:pPr>
      <w:r>
        <w:rPr>
          <w:rFonts w:hint="eastAsia" w:ascii="仿宋_GB2312" w:hAnsi="Times New Roman" w:eastAsia="仿宋_GB2312" w:cs="Times New Roman"/>
          <w:b w:val="0"/>
          <w:bCs w:val="0"/>
          <w:i w:val="0"/>
          <w:iCs w:val="0"/>
          <w:caps w:val="0"/>
          <w:color w:val="000000" w:themeColor="text1"/>
          <w:spacing w:val="0"/>
          <w:kern w:val="0"/>
          <w:sz w:val="32"/>
          <w:szCs w:val="32"/>
          <w14:textFill>
            <w14:solidFill>
              <w14:schemeClr w14:val="tx1"/>
            </w14:solidFill>
          </w14:textFill>
        </w:rPr>
        <w:t>参赛者应使用规范汉字准确填写姓名、作品名称、所在单位等信息。作品上传时间截止后，相关信息不得更改。</w:t>
      </w:r>
    </w:p>
    <w:p w14:paraId="6EBDA5CD">
      <w:pPr>
        <w:widowControl/>
        <w:shd w:val="clear" w:color="auto" w:fill="FFFFFF"/>
        <w:adjustRightInd w:val="0"/>
        <w:snapToGrid w:val="0"/>
        <w:spacing w:line="600" w:lineRule="exact"/>
        <w:ind w:firstLine="640" w:firstLineChars="200"/>
        <w:rPr>
          <w:rFonts w:eastAsia="黑体" w:cs="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三、赛程安排</w:t>
      </w:r>
    </w:p>
    <w:p w14:paraId="39E0EC90">
      <w:pPr>
        <w:widowControl/>
        <w:shd w:val="clear" w:color="auto" w:fill="FFFFFF"/>
        <w:adjustRightInd w:val="0"/>
        <w:snapToGrid w:val="0"/>
        <w:spacing w:line="600" w:lineRule="exact"/>
        <w:ind w:firstLine="640" w:firstLineChars="200"/>
        <w:rPr>
          <w:rFonts w:hint="eastAsia" w:ascii="楷体" w:hAnsi="楷体" w:eastAsia="楷体"/>
          <w:color w:val="000000" w:themeColor="text1"/>
          <w:kern w:val="0"/>
          <w:sz w:val="32"/>
          <w:szCs w:val="32"/>
          <w:lang w:val="en-US" w:eastAsia="zh-CN"/>
          <w14:textFill>
            <w14:solidFill>
              <w14:schemeClr w14:val="tx1"/>
            </w14:solidFill>
          </w14:textFill>
        </w:rPr>
      </w:pPr>
      <w:r>
        <w:rPr>
          <w:rFonts w:hint="eastAsia" w:ascii="楷体" w:hAnsi="楷体" w:eastAsia="楷体"/>
          <w:color w:val="000000" w:themeColor="text1"/>
          <w:kern w:val="0"/>
          <w:sz w:val="32"/>
          <w:szCs w:val="32"/>
          <w:lang w:val="en-US" w:eastAsia="zh-CN"/>
          <w14:textFill>
            <w14:solidFill>
              <w14:schemeClr w14:val="tx1"/>
            </w14:solidFill>
          </w14:textFill>
        </w:rPr>
        <w:t>（一）作品提交</w:t>
      </w:r>
    </w:p>
    <w:p w14:paraId="40E5F77B">
      <w:pPr>
        <w:widowControl/>
        <w:shd w:val="clear" w:color="auto" w:fill="FFFFFF"/>
        <w:adjustRightInd w:val="0"/>
        <w:snapToGrid w:val="0"/>
        <w:spacing w:line="600" w:lineRule="exact"/>
        <w:ind w:firstLine="640" w:firstLineChars="200"/>
        <w:rPr>
          <w:rFonts w:hint="eastAsia" w:ascii="仿宋_GB2312" w:eastAsia="仿宋_GB2312"/>
          <w:color w:val="000000" w:themeColor="text1"/>
          <w:kern w:val="0"/>
          <w:sz w:val="32"/>
          <w:szCs w:val="32"/>
          <w:highlight w:val="none"/>
          <w:lang w:val="en-US" w:eastAsia="zh-CN"/>
          <w14:textFill>
            <w14:solidFill>
              <w14:schemeClr w14:val="tx1"/>
            </w14:solidFill>
          </w14:textFill>
        </w:rPr>
      </w:pPr>
      <w:r>
        <w:rPr>
          <w:rFonts w:hint="eastAsia" w:ascii="仿宋_GB2312" w:eastAsia="仿宋_GB2312"/>
          <w:color w:val="000000" w:themeColor="text1"/>
          <w:kern w:val="0"/>
          <w:sz w:val="32"/>
          <w:szCs w:val="32"/>
          <w:highlight w:val="none"/>
          <w:lang w:val="en-US" w:eastAsia="zh-CN"/>
          <w14:textFill>
            <w14:solidFill>
              <w14:schemeClr w14:val="tx1"/>
            </w14:solidFill>
          </w14:textFill>
        </w:rPr>
        <w:t>6月12日24:00前，参赛选手使用微信扫一扫下方二维码登录学校微信企业号，进入“第八届中华经典诵写讲大赛校内报名”，找到对应报名入口。</w:t>
      </w:r>
    </w:p>
    <w:p w14:paraId="5B22BBC7">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center"/>
        <w:textAlignment w:val="auto"/>
        <w:rPr>
          <w:rFonts w:hint="eastAsia" w:ascii="仿宋_GB2312" w:eastAsia="仿宋_GB2312"/>
          <w:color w:val="000000" w:themeColor="text1"/>
          <w:kern w:val="0"/>
          <w:sz w:val="32"/>
          <w:szCs w:val="32"/>
          <w:highlight w:val="none"/>
          <w:lang w:val="en-US" w:eastAsia="zh-CN"/>
          <w14:textFill>
            <w14:solidFill>
              <w14:schemeClr w14:val="tx1"/>
            </w14:solidFill>
          </w14:textFill>
        </w:rPr>
      </w:pPr>
      <w:r>
        <w:drawing>
          <wp:inline distT="0" distB="0" distL="114300" distR="114300">
            <wp:extent cx="2012950" cy="2052320"/>
            <wp:effectExtent l="0" t="0" r="1397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012950" cy="2052320"/>
                    </a:xfrm>
                    <a:prstGeom prst="rect">
                      <a:avLst/>
                    </a:prstGeom>
                    <a:noFill/>
                    <a:ln>
                      <a:noFill/>
                    </a:ln>
                  </pic:spPr>
                </pic:pic>
              </a:graphicData>
            </a:graphic>
          </wp:inline>
        </w:drawing>
      </w:r>
    </w:p>
    <w:p w14:paraId="66A76CA0">
      <w:pPr>
        <w:jc w:val="center"/>
        <w:rPr>
          <w:rFonts w:hint="eastAsia" w:ascii="楷体" w:hAnsi="楷体" w:eastAsia="楷体" w:cs="楷体"/>
          <w:lang w:val="en-US" w:eastAsia="zh-CN"/>
        </w:rPr>
      </w:pPr>
      <w:r>
        <w:rPr>
          <w:rFonts w:hint="eastAsia" w:ascii="楷体" w:hAnsi="楷体" w:eastAsia="楷体" w:cs="楷体"/>
          <w:lang w:val="en-US" w:eastAsia="zh-CN"/>
        </w:rPr>
        <w:t>请使用微信扫描二维码</w:t>
      </w:r>
    </w:p>
    <w:p w14:paraId="509FB56D">
      <w:pPr>
        <w:pStyle w:val="2"/>
        <w:keepNext/>
        <w:keepLines/>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_GB2312" w:hAnsi="Times New Roman" w:eastAsia="仿宋_GB2312" w:cs="Times New Roman"/>
          <w:b w:val="0"/>
          <w:bCs w:val="0"/>
          <w:color w:val="000000" w:themeColor="text1"/>
          <w:kern w:val="0"/>
          <w:sz w:val="32"/>
          <w:szCs w:val="32"/>
          <w:highlight w:val="none"/>
          <w:lang w:val="en-US" w:eastAsia="zh-CN" w:bidi="ar-SA"/>
          <w14:textFill>
            <w14:solidFill>
              <w14:schemeClr w14:val="tx1"/>
            </w14:solidFill>
          </w14:textFill>
        </w:rPr>
      </w:pPr>
      <w:r>
        <w:rPr>
          <w:rFonts w:hint="eastAsia" w:ascii="仿宋_GB2312" w:hAnsi="Times New Roman" w:eastAsia="仿宋_GB2312" w:cs="Times New Roman"/>
          <w:b w:val="0"/>
          <w:bCs w:val="0"/>
          <w:color w:val="000000" w:themeColor="text1"/>
          <w:kern w:val="0"/>
          <w:sz w:val="32"/>
          <w:szCs w:val="32"/>
          <w:highlight w:val="none"/>
          <w:lang w:val="en-US" w:eastAsia="zh-CN" w:bidi="ar-SA"/>
          <w14:textFill>
            <w14:solidFill>
              <w14:schemeClr w14:val="tx1"/>
            </w14:solidFill>
          </w14:textFill>
        </w:rPr>
        <w:t>作品提交时请注意：将所有报名材料压缩打包命名为“诵读中国+中国石油大学（北京）+组别+作品名称</w:t>
      </w:r>
      <w:r>
        <w:rPr>
          <w:rFonts w:hint="eastAsia" w:ascii="仿宋_GB2312" w:eastAsia="仿宋_GB2312" w:cs="Times New Roman"/>
          <w:b w:val="0"/>
          <w:bCs w:val="0"/>
          <w:color w:val="000000" w:themeColor="text1"/>
          <w:kern w:val="0"/>
          <w:sz w:val="32"/>
          <w:szCs w:val="32"/>
          <w:highlight w:val="none"/>
          <w:lang w:val="en-US" w:eastAsia="zh-CN" w:bidi="ar-SA"/>
          <w14:textFill>
            <w14:solidFill>
              <w14:schemeClr w14:val="tx1"/>
            </w14:solidFill>
          </w14:textFill>
        </w:rPr>
        <w:t>+作品负责人姓名</w:t>
      </w:r>
      <w:r>
        <w:rPr>
          <w:rFonts w:hint="eastAsia" w:ascii="仿宋_GB2312" w:hAnsi="Times New Roman" w:eastAsia="仿宋_GB2312" w:cs="Times New Roman"/>
          <w:b w:val="0"/>
          <w:bCs w:val="0"/>
          <w:color w:val="000000" w:themeColor="text1"/>
          <w:kern w:val="0"/>
          <w:sz w:val="32"/>
          <w:szCs w:val="32"/>
          <w:highlight w:val="none"/>
          <w:lang w:val="en-US" w:eastAsia="zh-CN" w:bidi="ar-SA"/>
          <w14:textFill>
            <w14:solidFill>
              <w14:schemeClr w14:val="tx1"/>
            </w14:solidFill>
          </w14:textFill>
        </w:rPr>
        <w:t>”</w:t>
      </w:r>
      <w:r>
        <w:rPr>
          <w:rFonts w:hint="eastAsia" w:ascii="仿宋_GB2312" w:eastAsia="仿宋_GB2312" w:cs="Times New Roman"/>
          <w:b w:val="0"/>
          <w:bCs w:val="0"/>
          <w:color w:val="000000" w:themeColor="text1"/>
          <w:kern w:val="0"/>
          <w:sz w:val="32"/>
          <w:szCs w:val="32"/>
          <w:highlight w:val="none"/>
          <w:lang w:val="en-US" w:eastAsia="zh-CN" w:bidi="ar-SA"/>
          <w14:textFill>
            <w14:solidFill>
              <w14:schemeClr w14:val="tx1"/>
            </w14:solidFill>
          </w14:textFill>
        </w:rPr>
        <w:t>再上传。</w:t>
      </w:r>
    </w:p>
    <w:p w14:paraId="24DD00F2">
      <w:pPr>
        <w:widowControl/>
        <w:shd w:val="clear" w:color="auto" w:fill="FFFFFF"/>
        <w:adjustRightInd w:val="0"/>
        <w:snapToGrid w:val="0"/>
        <w:spacing w:line="600" w:lineRule="exact"/>
        <w:ind w:firstLine="640" w:firstLineChars="200"/>
        <w:rPr>
          <w:rFonts w:hint="eastAsia" w:ascii="楷体" w:hAnsi="楷体" w:eastAsia="楷体"/>
          <w:color w:val="000000" w:themeColor="text1"/>
          <w:kern w:val="0"/>
          <w:sz w:val="32"/>
          <w:szCs w:val="32"/>
          <w:lang w:val="en-US" w:eastAsia="zh-CN"/>
          <w14:textFill>
            <w14:solidFill>
              <w14:schemeClr w14:val="tx1"/>
            </w14:solidFill>
          </w14:textFill>
        </w:rPr>
      </w:pPr>
      <w:r>
        <w:rPr>
          <w:rFonts w:hint="eastAsia" w:ascii="楷体" w:hAnsi="楷体" w:eastAsia="楷体"/>
          <w:color w:val="000000" w:themeColor="text1"/>
          <w:kern w:val="0"/>
          <w:sz w:val="32"/>
          <w:szCs w:val="32"/>
          <w:lang w:val="en-US" w:eastAsia="zh-CN"/>
          <w14:textFill>
            <w14:solidFill>
              <w14:schemeClr w14:val="tx1"/>
            </w14:solidFill>
          </w14:textFill>
        </w:rPr>
        <w:t>（二）作品遴选</w:t>
      </w:r>
    </w:p>
    <w:p w14:paraId="1ECCF4BB">
      <w:pPr>
        <w:widowControl/>
        <w:shd w:val="clear" w:color="auto" w:fill="FFFFFF"/>
        <w:adjustRightInd w:val="0"/>
        <w:snapToGrid w:val="0"/>
        <w:spacing w:line="600" w:lineRule="exact"/>
        <w:ind w:firstLine="640" w:firstLineChars="200"/>
        <w:rPr>
          <w:rFonts w:hint="eastAsia" w:ascii="仿宋_GB2312" w:eastAsia="仿宋_GB2312"/>
          <w:color w:val="000000" w:themeColor="text1"/>
          <w:kern w:val="0"/>
          <w:sz w:val="32"/>
          <w:szCs w:val="32"/>
          <w:highlight w:val="none"/>
          <w:lang w:val="en-US" w:eastAsia="zh-CN"/>
          <w14:textFill>
            <w14:solidFill>
              <w14:schemeClr w14:val="tx1"/>
            </w14:solidFill>
          </w14:textFill>
        </w:rPr>
      </w:pPr>
      <w:r>
        <w:rPr>
          <w:rFonts w:hint="eastAsia" w:ascii="仿宋_GB2312" w:eastAsia="仿宋_GB2312"/>
          <w:color w:val="000000" w:themeColor="text1"/>
          <w:kern w:val="0"/>
          <w:sz w:val="32"/>
          <w:szCs w:val="32"/>
          <w:highlight w:val="none"/>
          <w:lang w:val="en-US" w:eastAsia="zh-CN"/>
          <w14:textFill>
            <w14:solidFill>
              <w14:schemeClr w14:val="tx1"/>
            </w14:solidFill>
          </w14:textFill>
        </w:rPr>
        <w:t>学校将组织专家评审，择优推荐参加北京赛区选拔赛，并组织被推荐人/团队在大赛官网完成注册、赛事报名、语言文化</w:t>
      </w:r>
      <w:bookmarkStart w:id="0" w:name="_GoBack"/>
      <w:bookmarkEnd w:id="0"/>
      <w:r>
        <w:rPr>
          <w:rFonts w:hint="eastAsia" w:ascii="仿宋_GB2312" w:eastAsia="仿宋_GB2312"/>
          <w:color w:val="000000" w:themeColor="text1"/>
          <w:kern w:val="0"/>
          <w:sz w:val="32"/>
          <w:szCs w:val="32"/>
          <w:highlight w:val="none"/>
          <w:lang w:val="en-US" w:eastAsia="zh-CN"/>
          <w14:textFill>
            <w14:solidFill>
              <w14:schemeClr w14:val="tx1"/>
            </w14:solidFill>
          </w14:textFill>
        </w:rPr>
        <w:t>知识及诵读常识测评</w:t>
      </w:r>
      <w:r>
        <w:rPr>
          <w:rFonts w:hint="eastAsia" w:ascii="仿宋_GB2312" w:eastAsia="仿宋_GB2312"/>
          <w:color w:val="000000" w:themeColor="text1"/>
          <w:kern w:val="0"/>
          <w:sz w:val="32"/>
          <w:szCs w:val="32"/>
          <w:lang w:val="en-US" w:eastAsia="zh-CN"/>
          <w14:textFill>
            <w14:solidFill>
              <w14:schemeClr w14:val="tx1"/>
            </w14:solidFill>
          </w14:textFill>
        </w:rPr>
        <w:t>和作品评审</w:t>
      </w:r>
      <w:r>
        <w:rPr>
          <w:rFonts w:hint="eastAsia" w:ascii="仿宋_GB2312" w:eastAsia="仿宋_GB2312"/>
          <w:color w:val="000000" w:themeColor="text1"/>
          <w:kern w:val="0"/>
          <w:sz w:val="32"/>
          <w:szCs w:val="32"/>
          <w:highlight w:val="none"/>
          <w:lang w:val="en-US" w:eastAsia="zh-CN"/>
          <w14:textFill>
            <w14:solidFill>
              <w14:schemeClr w14:val="tx1"/>
            </w14:solidFill>
          </w14:textFill>
        </w:rPr>
        <w:t>。测评可多次进行，60分以上方可获得参赛资格。每个参赛者被推荐作品限1件。团队参赛作品占比不低于一半。</w:t>
      </w:r>
    </w:p>
    <w:p w14:paraId="64FCC1A3">
      <w:pPr>
        <w:pStyle w:val="7"/>
        <w:ind w:left="0" w:leftChars="0"/>
        <w:rPr>
          <w:rFonts w:hint="default"/>
          <w:lang w:val="en-US" w:eastAsia="zh-CN"/>
        </w:rPr>
      </w:pPr>
      <w:r>
        <w:rPr>
          <w:rFonts w:hint="eastAsia" w:ascii="仿宋_GB2312" w:eastAsia="仿宋_GB2312"/>
          <w:color w:val="000000" w:themeColor="text1"/>
          <w:kern w:val="0"/>
          <w:sz w:val="32"/>
          <w:szCs w:val="32"/>
          <w:highlight w:val="none"/>
          <w:lang w:val="en-US" w:eastAsia="zh-CN"/>
          <w14:textFill>
            <w14:solidFill>
              <w14:schemeClr w14:val="tx1"/>
            </w14:solidFill>
          </w14:textFill>
        </w:rPr>
        <w:t>注册的手机号需与报名登记的手机号一致，每个手机号仅可上传一个作品，若同一手机号代报多个作品，所有代报作品将会取消评审资格。团队诵读作品由组内一人注册报名上传即可。</w:t>
      </w:r>
    </w:p>
    <w:p w14:paraId="0842E359">
      <w:pPr>
        <w:widowControl/>
        <w:shd w:val="clear" w:color="auto" w:fill="FFFFFF"/>
        <w:adjustRightInd w:val="0"/>
        <w:snapToGrid w:val="0"/>
        <w:spacing w:line="600" w:lineRule="exact"/>
        <w:ind w:firstLine="640" w:firstLineChars="200"/>
        <w:rPr>
          <w:rFonts w:hint="eastAsia" w:ascii="仿宋_GB2312" w:eastAsia="仿宋_GB2312"/>
          <w:color w:val="000000" w:themeColor="text1"/>
          <w:kern w:val="0"/>
          <w:sz w:val="32"/>
          <w:szCs w:val="32"/>
          <w14:textFill>
            <w14:solidFill>
              <w14:schemeClr w14:val="tx1"/>
            </w14:solidFill>
          </w14:textFill>
        </w:rPr>
      </w:pPr>
      <w:r>
        <w:rPr>
          <w:rFonts w:hint="eastAsia" w:ascii="楷体" w:hAnsi="楷体" w:eastAsia="楷体"/>
          <w:color w:val="000000" w:themeColor="text1"/>
          <w:kern w:val="0"/>
          <w:sz w:val="32"/>
          <w:szCs w:val="32"/>
          <w:lang w:val="en-US" w:eastAsia="zh-CN"/>
          <w14:textFill>
            <w14:solidFill>
              <w14:schemeClr w14:val="tx1"/>
            </w14:solidFill>
          </w14:textFill>
        </w:rPr>
        <w:t>（三）市级评审</w:t>
      </w:r>
    </w:p>
    <w:p w14:paraId="32C1C909">
      <w:pPr>
        <w:widowControl/>
        <w:shd w:val="clear" w:color="auto" w:fill="FFFFFF"/>
        <w:adjustRightInd w:val="0"/>
        <w:snapToGrid w:val="0"/>
        <w:spacing w:line="600" w:lineRule="exact"/>
        <w:ind w:firstLine="640" w:firstLineChars="200"/>
      </w:pPr>
      <w:r>
        <w:rPr>
          <w:rFonts w:hint="eastAsia" w:ascii="仿宋_GB2312" w:eastAsia="仿宋_GB2312"/>
          <w:color w:val="000000" w:themeColor="text1"/>
          <w:kern w:val="0"/>
          <w:sz w:val="32"/>
          <w:szCs w:val="32"/>
          <w:highlight w:val="none"/>
          <w:lang w:val="en-US" w:eastAsia="zh-CN"/>
          <w14:textFill>
            <w14:solidFill>
              <w14:schemeClr w14:val="tx1"/>
            </w14:solidFill>
          </w14:textFill>
        </w:rPr>
        <w:t>被推荐的参赛者根据短信提示登录大赛官网（https://jdsxj.eduyun.cn），使用登记的手机号完成作品提交。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2D1799-64DE-455E-914C-6D1103A1144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2" w:fontKey="{C9EFCC43-3443-40A3-B28C-08D88AFE9F2B}"/>
  </w:font>
  <w:font w:name="仿宋_GB2312">
    <w:panose1 w:val="02010609030101010101"/>
    <w:charset w:val="86"/>
    <w:family w:val="modern"/>
    <w:pitch w:val="default"/>
    <w:sig w:usb0="00000001" w:usb1="080E0000" w:usb2="00000000" w:usb3="00000000" w:csb0="00040000" w:csb1="00000000"/>
    <w:embedRegular r:id="rId3" w:fontKey="{BB2A53F7-0A44-417F-87A5-7936A83C6733}"/>
  </w:font>
  <w:font w:name="楷体">
    <w:panose1 w:val="02010609060101010101"/>
    <w:charset w:val="86"/>
    <w:family w:val="modern"/>
    <w:pitch w:val="default"/>
    <w:sig w:usb0="800002BF" w:usb1="38CF7CFA" w:usb2="00000016" w:usb3="00000000" w:csb0="00040001" w:csb1="00000000"/>
    <w:embedRegular r:id="rId4" w:fontKey="{7A4307B2-B146-410D-816E-F031E79CDBA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0MDMwMzgxZWZkOWI5OWMyNmIyNDliNjBiNzc1ZTcifQ=="/>
  </w:docVars>
  <w:rsids>
    <w:rsidRoot w:val="79470A35"/>
    <w:rsid w:val="00A25301"/>
    <w:rsid w:val="14BC178D"/>
    <w:rsid w:val="2C3B2328"/>
    <w:rsid w:val="2CE03BCE"/>
    <w:rsid w:val="30913CD1"/>
    <w:rsid w:val="32025840"/>
    <w:rsid w:val="45836318"/>
    <w:rsid w:val="56E57E9E"/>
    <w:rsid w:val="599E37C5"/>
    <w:rsid w:val="63FA510E"/>
    <w:rsid w:val="6FA83C70"/>
    <w:rsid w:val="79470A35"/>
    <w:rsid w:val="7F6B6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6"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Body Text First Indent 21"/>
    <w:basedOn w:val="8"/>
    <w:autoRedefine/>
    <w:qFormat/>
    <w:uiPriority w:val="0"/>
    <w:pPr>
      <w:spacing w:before="100" w:beforeAutospacing="1" w:after="100" w:afterAutospacing="1"/>
      <w:ind w:left="420" w:leftChars="200" w:firstLine="420" w:firstLineChars="200"/>
    </w:pPr>
    <w:rPr>
      <w:rFonts w:ascii="Calibri" w:hAnsi="Calibri"/>
    </w:rPr>
  </w:style>
  <w:style w:type="paragraph" w:customStyle="1" w:styleId="8">
    <w:name w:val="Body Text Indent1"/>
    <w:basedOn w:val="1"/>
    <w:autoRedefine/>
    <w:qFormat/>
    <w:uiPriority w:val="0"/>
    <w:pPr>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1441</Words>
  <Characters>1492</Characters>
  <Lines>0</Lines>
  <Paragraphs>0</Paragraphs>
  <TotalTime>5</TotalTime>
  <ScaleCrop>false</ScaleCrop>
  <LinksUpToDate>false</LinksUpToDate>
  <CharactersWithSpaces>1492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2025-04-08T00:21:00Z</dcterms:created>
  <dc:creator>王星</dc:creator>
  <cp:lastModifiedBy>王星</cp:lastModifiedBy>
  <dcterms:modified xsi:type="dcterms:W3CDTF">2026-05-31T01:40:20Z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C0D119861D4F42548EB9EAEE7468513D_13</vt:lpwstr>
  </property>
  <property fmtid="{D5CDD505-2E9C-101B-9397-08002B2CF9AE}" pid="4" name="KSOTemplateDocerSaveRecord">
    <vt:lpwstr>eyJoZGlkIjoiZjI0MDMwMzgxZWZkOWI5OWMyNmIyNDliNjBiNzc1ZTciLCJ1c2VySWQiOiIxNTU3ODQ3NTYxIn0=</vt:lpwstr>
  </property>
</Properties>
</file>